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F2" w:rsidRDefault="001742F2" w:rsidP="001742F2">
      <w:pPr>
        <w:pStyle w:val="NormalnyWeb"/>
        <w:pageBreakBefore/>
        <w:spacing w:after="0" w:line="198" w:lineRule="atLeast"/>
        <w:jc w:val="right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color w:val="000000"/>
          <w:sz w:val="20"/>
          <w:szCs w:val="20"/>
        </w:rPr>
        <w:t xml:space="preserve">Załącznik nr 1B do SIWZ </w:t>
      </w:r>
    </w:p>
    <w:p w:rsidR="001742F2" w:rsidRDefault="001742F2" w:rsidP="001742F2">
      <w:pPr>
        <w:pStyle w:val="NormalnyWeb"/>
        <w:spacing w:before="0" w:line="198" w:lineRule="atLeast"/>
        <w:jc w:val="center"/>
      </w:pPr>
      <w:r>
        <w:rPr>
          <w:b/>
          <w:bCs/>
          <w:color w:val="000000"/>
        </w:rPr>
        <w:t>Opis przedmiotu zamówienia (OPZ)</w:t>
      </w:r>
    </w:p>
    <w:p w:rsidR="00E97CD5" w:rsidRPr="002E4D5D" w:rsidRDefault="002E4D5D">
      <w:pPr>
        <w:rPr>
          <w:rFonts w:ascii="Times New Roman" w:hAnsi="Times New Roman" w:cs="Times New Roman"/>
          <w:b/>
          <w:sz w:val="20"/>
          <w:szCs w:val="20"/>
        </w:rPr>
      </w:pPr>
      <w:r w:rsidRPr="002E4D5D">
        <w:rPr>
          <w:rFonts w:ascii="Times New Roman" w:hAnsi="Times New Roman" w:cs="Times New Roman"/>
          <w:b/>
          <w:sz w:val="20"/>
          <w:szCs w:val="20"/>
        </w:rPr>
        <w:t>Pakiet 4</w:t>
      </w:r>
      <w:r>
        <w:rPr>
          <w:rFonts w:ascii="Times New Roman" w:hAnsi="Times New Roman" w:cs="Times New Roman"/>
          <w:b/>
          <w:sz w:val="20"/>
          <w:szCs w:val="20"/>
        </w:rPr>
        <w:t xml:space="preserve">  INSTRUMENTARIUM DO REWIZJI ENDOPROTEZ</w:t>
      </w:r>
    </w:p>
    <w:p w:rsidR="009E3340" w:rsidRPr="002E4D5D" w:rsidRDefault="00452B7C">
      <w:pPr>
        <w:rPr>
          <w:rFonts w:ascii="Times New Roman" w:hAnsi="Times New Roman" w:cs="Times New Roman"/>
          <w:b/>
          <w:sz w:val="20"/>
          <w:szCs w:val="20"/>
        </w:rPr>
      </w:pPr>
      <w:r w:rsidRPr="002E4D5D">
        <w:rPr>
          <w:rFonts w:ascii="Times New Roman" w:hAnsi="Times New Roman" w:cs="Times New Roman"/>
          <w:b/>
          <w:sz w:val="20"/>
          <w:szCs w:val="20"/>
        </w:rPr>
        <w:t>Zadanie 1</w:t>
      </w:r>
      <w:r w:rsidR="002E4D5D">
        <w:rPr>
          <w:rFonts w:ascii="Times New Roman" w:hAnsi="Times New Roman" w:cs="Times New Roman"/>
          <w:b/>
          <w:sz w:val="20"/>
          <w:szCs w:val="20"/>
        </w:rPr>
        <w:t xml:space="preserve"> Uniwersalny system do usuwania panewek</w:t>
      </w:r>
    </w:p>
    <w:tbl>
      <w:tblPr>
        <w:tblStyle w:val="Tabela-Siatka"/>
        <w:tblW w:w="14070" w:type="dxa"/>
        <w:tblLook w:val="04A0" w:firstRow="1" w:lastRow="0" w:firstColumn="1" w:lastColumn="0" w:noHBand="0" w:noVBand="1"/>
      </w:tblPr>
      <w:tblGrid>
        <w:gridCol w:w="505"/>
        <w:gridCol w:w="4770"/>
        <w:gridCol w:w="1848"/>
        <w:gridCol w:w="5250"/>
        <w:gridCol w:w="1697"/>
      </w:tblGrid>
      <w:tr w:rsidR="009E3340" w:rsidRPr="002E4D5D" w:rsidTr="0012351B">
        <w:trPr>
          <w:trHeight w:val="294"/>
        </w:trPr>
        <w:tc>
          <w:tcPr>
            <w:tcW w:w="505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48" w:type="dxa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50" w:type="dxa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97" w:type="dxa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</w:tr>
      <w:tr w:rsidR="009E3340" w:rsidRPr="002E4D5D" w:rsidTr="0012351B">
        <w:trPr>
          <w:trHeight w:val="1083"/>
        </w:trPr>
        <w:tc>
          <w:tcPr>
            <w:tcW w:w="5275" w:type="dxa"/>
            <w:gridSpan w:val="2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Wymagania bezwzględne Zamawiającego </w:t>
            </w:r>
          </w:p>
        </w:tc>
        <w:tc>
          <w:tcPr>
            <w:tcW w:w="1848" w:type="dxa"/>
            <w:hideMark/>
          </w:tcPr>
          <w:p w:rsidR="00DF3470" w:rsidRPr="00493FFB" w:rsidRDefault="009E3340" w:rsidP="00493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 wymagany i oceniany</w:t>
            </w:r>
          </w:p>
        </w:tc>
        <w:tc>
          <w:tcPr>
            <w:tcW w:w="5250" w:type="dxa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Opisać</w:t>
            </w:r>
          </w:p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(gdy w kolumnie B jest wartość "TAK", proszę określić, czy oferowany produkt spełnia parametr wskazując TAK lub NIE;  gdy w kolumnie B jest wartość "TAK, PODAĆ" proszę opisać parametr)</w:t>
            </w:r>
          </w:p>
        </w:tc>
        <w:tc>
          <w:tcPr>
            <w:tcW w:w="1697" w:type="dxa"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 w:val="restart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zaoferowany przedmiot zamówienia był:   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wyprodukowany  w  2018 roku,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fabrycznie nowy,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nieuszkodzony,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nieregenerowany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nie będący uprzednio przedmiotem ekspozycji i wystaw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kompletny i gotowy do użycia- nie wymagający procedur  przygotowania przez </w:t>
            </w:r>
            <w:r w:rsidR="002E4D5D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użytkownika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hartowany próżniowo,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odporny na korozję 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poddany przez producenta wstępnej pasywacji 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12351B">
        <w:trPr>
          <w:trHeight w:val="266"/>
        </w:trPr>
        <w:tc>
          <w:tcPr>
            <w:tcW w:w="505" w:type="dxa"/>
          </w:tcPr>
          <w:p w:rsidR="007F1FEA" w:rsidRPr="00CD6E14" w:rsidRDefault="007F1FEA" w:rsidP="00DF347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D6E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4770" w:type="dxa"/>
          </w:tcPr>
          <w:p w:rsidR="007F1FEA" w:rsidRPr="00CD6E14" w:rsidRDefault="007F1FEA" w:rsidP="00DF347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D6E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Zestaw noży do usuwania panewek </w:t>
            </w:r>
            <w:r w:rsidR="00CD6E14" w:rsidRPr="00CD6E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bezcementowych charakteryzuje się możliwością dopasowania do panewek w rozmiarach minimum 48 do 60 mm, w których zastosowano wkładki do głów 28, 32 lub 36 mm.</w:t>
            </w:r>
          </w:p>
        </w:tc>
        <w:tc>
          <w:tcPr>
            <w:tcW w:w="1848" w:type="dxa"/>
            <w:noWrap/>
          </w:tcPr>
          <w:p w:rsidR="007F1FEA" w:rsidRPr="00CD6E14" w:rsidRDefault="00CD6E14" w:rsidP="00DF34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</w:tcPr>
          <w:p w:rsidR="007F1FEA" w:rsidRPr="00CD6E14" w:rsidRDefault="007F1FEA" w:rsidP="00DF347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7F1FEA" w:rsidRPr="00CD6E14" w:rsidRDefault="00CD6E14" w:rsidP="00DF34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 w:val="restart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posiadają powierzchnię: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matowaną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równą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gładką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zadziorów 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porów 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pęknięć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wyżłobień.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0A0DC7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9E334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9E3340" w:rsidRPr="002E4D5D" w:rsidTr="0012351B">
        <w:trPr>
          <w:trHeight w:val="534"/>
        </w:trPr>
        <w:tc>
          <w:tcPr>
            <w:tcW w:w="505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70" w:type="dxa"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łączone za pomocą śrubki lub nitu, odpowiednio zabezpieczone przed przypadkowym odkręceniem lub wypadnięciem</w:t>
            </w:r>
          </w:p>
        </w:tc>
        <w:tc>
          <w:tcPr>
            <w:tcW w:w="1848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9E3340" w:rsidRPr="002E4D5D" w:rsidRDefault="009E3340" w:rsidP="00DF3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E3340" w:rsidRPr="002E4D5D" w:rsidRDefault="009E3340" w:rsidP="00DF3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12351B" w:rsidRPr="002E4D5D" w:rsidTr="0012351B">
        <w:trPr>
          <w:trHeight w:val="279"/>
        </w:trPr>
        <w:tc>
          <w:tcPr>
            <w:tcW w:w="505" w:type="dxa"/>
            <w:noWrap/>
          </w:tcPr>
          <w:p w:rsidR="0012351B" w:rsidRPr="0012351B" w:rsidRDefault="00D566B0" w:rsidP="00DF34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4</w:t>
            </w:r>
            <w:r w:rsidR="009D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70" w:type="dxa"/>
          </w:tcPr>
          <w:p w:rsidR="0012351B" w:rsidRPr="0012351B" w:rsidRDefault="0012351B" w:rsidP="0012351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Noże są wykonane z materiału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:</w:t>
            </w: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8" w:type="dxa"/>
            <w:noWrap/>
          </w:tcPr>
          <w:p w:rsidR="0012351B" w:rsidRPr="0012351B" w:rsidRDefault="0012351B" w:rsidP="00DF34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noWrap/>
          </w:tcPr>
          <w:p w:rsidR="0012351B" w:rsidRPr="0012351B" w:rsidRDefault="0012351B" w:rsidP="00DF347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12351B" w:rsidRPr="0012351B" w:rsidRDefault="0012351B" w:rsidP="00DF34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o wysokiej twardości (preferowane, aby były powlekane </w:t>
            </w:r>
            <w:proofErr w:type="spellStart"/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nitrytkiem</w:t>
            </w:r>
            <w:proofErr w:type="spellEnd"/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tytanu)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848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CD6E14">
        <w:trPr>
          <w:trHeight w:val="330"/>
        </w:trPr>
        <w:tc>
          <w:tcPr>
            <w:tcW w:w="505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</w:tcPr>
          <w:p w:rsidR="00D566B0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który gwarantuje odporność na uszkodzenia</w:t>
            </w:r>
          </w:p>
        </w:tc>
        <w:tc>
          <w:tcPr>
            <w:tcW w:w="1848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CD6E14">
        <w:trPr>
          <w:trHeight w:val="278"/>
        </w:trPr>
        <w:tc>
          <w:tcPr>
            <w:tcW w:w="505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</w:tcPr>
          <w:p w:rsidR="00D566B0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który gwarantuje odporność na stępienia</w:t>
            </w:r>
          </w:p>
        </w:tc>
        <w:tc>
          <w:tcPr>
            <w:tcW w:w="1848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</w:tcPr>
          <w:p w:rsidR="00D566B0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który gwarantuje długotrwałe utrzymanie jakości (ostrza wielkokrotnego użycia)</w:t>
            </w:r>
          </w:p>
        </w:tc>
        <w:tc>
          <w:tcPr>
            <w:tcW w:w="1848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 w:val="restart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Narzędzia wykonane ze stali narzędziowej szlachetnej, spełniającej wymagania normy:          </w:t>
            </w:r>
            <w:r w:rsidRPr="00D566B0"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pl-PL"/>
              </w:rPr>
              <w:t>(W przypadku posiadania normy równoważnej do wymaganej Wykonawca poda jej nazwę)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- PN-EN 10088-1 lub równoważna;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 , podać normę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- 1998 (ISO 7153-1)lub równoważna- spełniające standard dla stali 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 , podać normę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 EN ISO 13485:2012 lub EN ISO 13485:2016 lub równoważna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 , podać normę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 DIN 58298 ( dot. twardości stali) lub równoważna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 , podać normę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 ISO 13402 ( dot. odporności na korozję) lub równoważna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 , podać normę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848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D566B0" w:rsidRPr="00D566B0" w:rsidRDefault="00D566B0" w:rsidP="00D566B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D566B0" w:rsidRDefault="00D566B0" w:rsidP="00D566B0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566B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 w:val="restart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nie ulegają uszkodzeniu :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podczas sterylizacji parowej w temperaturze 134 stopni Celsjusza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podczas dezynfekcji maszynowej w myjniach – dezynfektorach o konstrukcji zgodnej z PN-EN 15883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w roztworach preparatów dezynfekcyjnych dopuszczonych do obrotu na terenie UE.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4770" w:type="dxa"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Noże mają dwie głębokości wycięcia : inicjującą pogłębiającą</w:t>
            </w:r>
          </w:p>
        </w:tc>
        <w:tc>
          <w:tcPr>
            <w:tcW w:w="1848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</w:tcPr>
          <w:p w:rsidR="00D566B0" w:rsidRPr="0012351B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noWrap/>
          </w:tcPr>
          <w:p w:rsidR="00D566B0" w:rsidRPr="0012351B" w:rsidRDefault="00D566B0" w:rsidP="00D566B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235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 w:val="restart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oznakowanie na narzędziach oprócz oznakowania wytwórcy: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trwałym napisem: COP 2018 metodą elektrochemiczną lub laserową (z wyjątkiem narzędzi i 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urządzeń na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 z przyczyn technicznych takie znakowanie jest niemożliwe)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802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unikalnym kodem w systemie DATA MATRIX naniesionym techniką laserową bądź udarową (z wyjątkiem 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narzędzi i urządzeń na których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przyczyn technicznych takie znakowanie jest niemożliwe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C90003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kod DATA MATRIX musi być dobrze czytany przez skaner kodów DATA MATRIX używany przez Zamawiającego,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C90003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narzędzia o identycznym numerze katalogowym nie  posiadać identycznego oznakowania!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815"/>
        </w:trPr>
        <w:tc>
          <w:tcPr>
            <w:tcW w:w="505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Dostawca zobowiązany będzie do dołączenia przy dostawie fotografii narzędzi pojedynczych oraz całych zestawów narzędziowych z uwzględnieniem nazwy i określeniem nr katalogu, 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 zestawu – całego zestawu ( 1 kpl w wersji 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ierowej i 1 kpl w wersji elektronicznej) -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802"/>
        </w:trPr>
        <w:tc>
          <w:tcPr>
            <w:tcW w:w="505" w:type="dxa"/>
            <w:vMerge w:val="restart"/>
            <w:noWrap/>
            <w:hideMark/>
          </w:tcPr>
          <w:p w:rsidR="00D566B0" w:rsidRPr="008E16CD" w:rsidRDefault="00D566B0" w:rsidP="00D56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70" w:type="dxa"/>
            <w:hideMark/>
          </w:tcPr>
          <w:p w:rsidR="00D566B0" w:rsidRPr="008E16C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do 60 miesięcy  na trwałość oznaczeń  na narzędziach, jednak okres ten nie może być krótszy niż okres gwarancji na narzędzie chirurgiczne. </w:t>
            </w:r>
          </w:p>
        </w:tc>
        <w:tc>
          <w:tcPr>
            <w:tcW w:w="1848" w:type="dxa"/>
            <w:hideMark/>
          </w:tcPr>
          <w:p w:rsidR="00D566B0" w:rsidRPr="008E16C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5250" w:type="dxa"/>
            <w:noWrap/>
            <w:hideMark/>
          </w:tcPr>
          <w:p w:rsidR="00D566B0" w:rsidRPr="008E16C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hideMark/>
          </w:tcPr>
          <w:p w:rsidR="00D566B0" w:rsidRPr="008E16C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.- 15 pkt, 48 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- 10 pkt., poniżej 48 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.- 0 pkt.</w:t>
            </w:r>
          </w:p>
        </w:tc>
      </w:tr>
      <w:tr w:rsidR="00D566B0" w:rsidRPr="002E4D5D" w:rsidTr="0012351B">
        <w:trPr>
          <w:trHeight w:val="815"/>
        </w:trPr>
        <w:tc>
          <w:tcPr>
            <w:tcW w:w="505" w:type="dxa"/>
            <w:vMerge/>
            <w:hideMark/>
          </w:tcPr>
          <w:p w:rsidR="00D566B0" w:rsidRPr="008E16CD" w:rsidRDefault="00D566B0" w:rsidP="00D566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8E16C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na narzędzia do 48 miesięcy,  jednak okres ten nie może być krótszy niż 24 m-ce </w:t>
            </w:r>
          </w:p>
        </w:tc>
        <w:tc>
          <w:tcPr>
            <w:tcW w:w="1848" w:type="dxa"/>
            <w:hideMark/>
          </w:tcPr>
          <w:p w:rsidR="00D566B0" w:rsidRPr="008E16C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noWrap/>
            <w:hideMark/>
          </w:tcPr>
          <w:p w:rsidR="00D566B0" w:rsidRPr="008E16C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hideMark/>
          </w:tcPr>
          <w:p w:rsidR="00D566B0" w:rsidRPr="008E16C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- 25 pkt, 36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- 15 pkt, poniżej 36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D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 pkt.</w:t>
            </w:r>
          </w:p>
        </w:tc>
      </w:tr>
      <w:tr w:rsidR="00D566B0" w:rsidRPr="002E4D5D" w:rsidTr="0012351B">
        <w:trPr>
          <w:trHeight w:val="802"/>
        </w:trPr>
        <w:tc>
          <w:tcPr>
            <w:tcW w:w="505" w:type="dxa"/>
            <w:vMerge w:val="restart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Dostawca narzędzi podał listę środków czyszczących dopuszczonych do manualnego doczyszczania trudnych zabrudzeń na instrumentarium – przy dostawie.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 środki muszą być skuteczne usuwaniu trudnych zabrudzeń z narzędzi, bez uszkadzania tych narzędzi.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802"/>
        </w:trPr>
        <w:tc>
          <w:tcPr>
            <w:tcW w:w="505" w:type="dxa"/>
            <w:vMerge w:val="restart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Dostawca narzędzi podał listę środków do konserwacji narzędzi przed sterylizacją parową – w formie  papierowej (3 kpl) i elektronicznej ( 1 kpl). </w:t>
            </w:r>
            <w:r w:rsidR="000A0D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 dostawie.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konserwujące nie mogą utrudniać procesu sterylizacji- substancja konserwująca instrumentarium musi przepuszczać czynnik sterylizujący zapewniając skuteczną sterylizację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 w:val="restart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narzędzi dostarczy (przy dostawie):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36B7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236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instrukcję producenta dotyczącą dekontaminacji ( oczyszczania, mycia, dezynfekcji i sterylizacji)  narzędzi w języku polskim w ilości co najmniej trzech egzemplarzy.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66B0" w:rsidRPr="002E4D5D" w:rsidTr="0012351B">
        <w:trPr>
          <w:trHeight w:val="534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katalog narzędziowy producenta oferowanego sprzętu wraz z opisem oferowanego produktu w języku polskim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informację o wadze netto każdego z narzędzi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628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instrukcję obsługi ( montażu/ demontażu narzędzi,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 tych czynności wymagają) w języku polskim w wersji papierowej ( 3 kpl) i w wersji elektronicznej (1kpl)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745"/>
        </w:trPr>
        <w:tc>
          <w:tcPr>
            <w:tcW w:w="505" w:type="dxa"/>
            <w:vMerge w:val="restart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70" w:type="dxa"/>
            <w:hideMark/>
          </w:tcPr>
          <w:p w:rsidR="00D566B0" w:rsidRPr="00C90003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zastrzega sobie prawo żądania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próbki, 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1 szt. </w:t>
            </w:r>
            <w:r w:rsidR="000A0DC7"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ferowanego wyrobu w celu stwierdzenia, że odpowiada on wymaganiom zamawiającego.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802"/>
        </w:trPr>
        <w:tc>
          <w:tcPr>
            <w:tcW w:w="505" w:type="dxa"/>
            <w:vMerge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0" w:type="dxa"/>
            <w:hideMark/>
          </w:tcPr>
          <w:p w:rsidR="00D566B0" w:rsidRPr="00C90003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Wzory należy dostarczyć w przezroczystym, otwieralnym  opakowaniu,  opisanym pełną nazwą narzędzia, i oznaczeniem katalogowym oraz numerem i pozycją Pakietu Zamawiającego.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D566B0" w:rsidRPr="002E4D5D" w:rsidTr="0012351B">
        <w:trPr>
          <w:trHeight w:val="266"/>
        </w:trPr>
        <w:tc>
          <w:tcPr>
            <w:tcW w:w="505" w:type="dxa"/>
            <w:noWrap/>
            <w:hideMark/>
          </w:tcPr>
          <w:p w:rsidR="00D566B0" w:rsidRPr="002E4D5D" w:rsidRDefault="00D566B0" w:rsidP="00D56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70" w:type="dxa"/>
            <w:hideMark/>
          </w:tcPr>
          <w:p w:rsidR="00D566B0" w:rsidRPr="002E4D5D" w:rsidRDefault="00D566B0" w:rsidP="00D56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do 12 grudnia 2018.</w:t>
            </w: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8" w:type="dxa"/>
            <w:noWrap/>
            <w:hideMark/>
          </w:tcPr>
          <w:p w:rsidR="00D566B0" w:rsidRPr="002E4D5D" w:rsidRDefault="000A0DC7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566B0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5250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D566B0" w:rsidRPr="002E4D5D" w:rsidRDefault="00D566B0" w:rsidP="00D56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</w:tbl>
    <w:p w:rsidR="009E3340" w:rsidRPr="002E4D5D" w:rsidRDefault="009E3340">
      <w:pPr>
        <w:rPr>
          <w:rFonts w:ascii="Times New Roman" w:hAnsi="Times New Roman" w:cs="Times New Roman"/>
          <w:sz w:val="20"/>
          <w:szCs w:val="20"/>
        </w:rPr>
      </w:pPr>
    </w:p>
    <w:p w:rsidR="00452B7C" w:rsidRPr="002E4D5D" w:rsidRDefault="00452B7C">
      <w:pPr>
        <w:rPr>
          <w:rFonts w:ascii="Times New Roman" w:hAnsi="Times New Roman" w:cs="Times New Roman"/>
          <w:b/>
          <w:sz w:val="20"/>
          <w:szCs w:val="20"/>
        </w:rPr>
      </w:pPr>
      <w:r w:rsidRPr="002E4D5D">
        <w:rPr>
          <w:rFonts w:ascii="Times New Roman" w:hAnsi="Times New Roman" w:cs="Times New Roman"/>
          <w:b/>
          <w:sz w:val="20"/>
          <w:szCs w:val="20"/>
        </w:rPr>
        <w:t>Zadanie 2</w:t>
      </w:r>
      <w:r w:rsidR="002E4D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B32" w:rsidRPr="000A6B32">
        <w:rPr>
          <w:rFonts w:ascii="Times New Roman" w:hAnsi="Times New Roman" w:cs="Times New Roman"/>
          <w:b/>
          <w:sz w:val="20"/>
        </w:rPr>
        <w:t xml:space="preserve">System </w:t>
      </w:r>
      <w:proofErr w:type="spellStart"/>
      <w:r w:rsidR="000A6B32" w:rsidRPr="000A6B32">
        <w:rPr>
          <w:rFonts w:ascii="Times New Roman" w:hAnsi="Times New Roman" w:cs="Times New Roman"/>
          <w:b/>
          <w:sz w:val="20"/>
        </w:rPr>
        <w:t>osteostomów</w:t>
      </w:r>
      <w:proofErr w:type="spellEnd"/>
      <w:r w:rsidR="000A6B32" w:rsidRPr="000A6B32">
        <w:rPr>
          <w:rFonts w:ascii="Times New Roman" w:hAnsi="Times New Roman" w:cs="Times New Roman"/>
          <w:b/>
          <w:sz w:val="20"/>
        </w:rPr>
        <w:t xml:space="preserve"> do usuwania trzpieni endoprotez  bezcementowych biodra</w:t>
      </w:r>
      <w:r w:rsidR="000A6B32">
        <w:rPr>
          <w:rFonts w:ascii="Times New Roman" w:hAnsi="Times New Roman" w:cs="Times New Roman"/>
          <w:b/>
          <w:sz w:val="20"/>
        </w:rPr>
        <w:t>.</w:t>
      </w:r>
    </w:p>
    <w:tbl>
      <w:tblPr>
        <w:tblW w:w="14004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804"/>
        <w:gridCol w:w="1848"/>
        <w:gridCol w:w="5250"/>
        <w:gridCol w:w="1656"/>
      </w:tblGrid>
      <w:tr w:rsidR="00452B7C" w:rsidRPr="002E4D5D" w:rsidTr="000A0DC7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</w:tr>
      <w:tr w:rsidR="00452B7C" w:rsidRPr="002E4D5D" w:rsidTr="000A0DC7">
        <w:trPr>
          <w:trHeight w:val="1106"/>
        </w:trPr>
        <w:tc>
          <w:tcPr>
            <w:tcW w:w="5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Wymagania bezwzględne Zamawiającego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66AC0" w:rsidRPr="00452B7C" w:rsidRDefault="00452B7C" w:rsidP="00CB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Parametr wymagany i oceniany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52B7C" w:rsidRPr="002E4D5D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Opisać                                                                     </w:t>
            </w:r>
          </w:p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(gdy w kolumnie B jest wartość </w:t>
            </w:r>
            <w:r w:rsidR="000A0D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„</w:t>
            </w: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TAK</w:t>
            </w:r>
            <w:r w:rsidR="000A0D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”</w:t>
            </w: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, proszę określić, czy oferowany produkt spełnia parametr wskazując TAK lub NIE;  gdy w kolumnie B jest wartość </w:t>
            </w:r>
            <w:r w:rsidR="000A0D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„</w:t>
            </w: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TAK, PODAĆ</w:t>
            </w:r>
            <w:r w:rsidR="000A0DC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”</w:t>
            </w: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proszę opisać parametr)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Punktacja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zaoferowany przedmiot zamówienia był: 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wyprodukowany  w  2018 roku,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fabrycznie nowy,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nieuszkodzony,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nieregenerowany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nie będący uprzednio przedmiotem ekspozycji i wystaw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2E4D5D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kompletny i gotowy do użycia- nie wymagający procedur  przygotowania przez </w:t>
            </w:r>
            <w:r w:rsidR="002E4D5D" w:rsidRPr="002E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użytkownika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hartowany próżniowo,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odporny na korozję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poddany przez producenta wstępnej pasywacji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FEA" w:rsidRPr="007F1FEA" w:rsidRDefault="000A0DC7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FEA" w:rsidRPr="007F1FEA" w:rsidRDefault="007F1FEA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Dopuszcza się ostrza wielokrotnego użycia, wymienne na uchwycie do pobijania i z uchwytem umożliwiającym wybijanie osteotomu.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1FEA" w:rsidRPr="007F1FEA" w:rsidRDefault="007F1FEA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Parametr dopuszczany, nie wymagany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F1FEA" w:rsidRPr="007F1FEA" w:rsidRDefault="007F1FEA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FEA" w:rsidRPr="007F1FEA" w:rsidRDefault="007F1FEA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posiadają powierzchnię: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matowaną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równą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gładką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zadziorów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porów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pozbawiona pęknięć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pozbawioną wyżłobień.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tolerancję: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C90003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na długościach narzędzi  pow</w:t>
            </w:r>
            <w:r w:rsidR="00C90003"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yżej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 mm  +/-5mm,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C90003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0003"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na długościach narzędzi  poniżej 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 mm  +/-2mm,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452B7C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B7C" w:rsidRPr="00C90003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na wymiary kontenerów tolerancja +/-3%.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2B7C" w:rsidRPr="00452B7C" w:rsidRDefault="00452B7C" w:rsidP="0045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7C" w:rsidRPr="00452B7C" w:rsidRDefault="00452B7C" w:rsidP="0045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Kształt narzędzi płaski i zaokrąglony.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nie mogą posiadać elementów demontowalnych, muszą być łączone trwale za pomocą np. nitów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547C25" w:rsidRPr="002E4D5D" w:rsidTr="000A0DC7">
        <w:trPr>
          <w:trHeight w:val="5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7C25" w:rsidRPr="00547C25" w:rsidRDefault="00547C25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47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C25" w:rsidRPr="00547C25" w:rsidRDefault="00547C25" w:rsidP="00547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47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Narzędzia wykonane z chirurgicznej stal</w:t>
            </w:r>
            <w:r w:rsidR="00595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 nierdzewnej, która zachowuje</w:t>
            </w:r>
            <w:r w:rsidRPr="00547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elastyczność i pozwala na dopasowanie się do endoprotezy.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C25" w:rsidRPr="00547C25" w:rsidRDefault="00547C25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47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7C25" w:rsidRPr="00452B7C" w:rsidRDefault="00547C25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C25" w:rsidRPr="00452B7C" w:rsidRDefault="00547C25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Narzędzia wykonane ze stali narzędziowej szlachetnej, spełniającej wymagania normy:                 </w:t>
            </w:r>
          </w:p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pl-PL"/>
              </w:rPr>
              <w:t>(W przypadku posiadania normy równoważnej do wymaganej podać jej nazwę 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- PN-EN 10088-1 lub równoważna;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- 1998 (ISO 7153-1)lub równoważna- spełniające standard dla stali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 EN ISO 13485:2012 lub EN ISO 13485:2016 lub równoważna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 DIN 58298 ( dot. twardości stali) lub równoważna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podać 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- ISO 13402 ( dot. odporności na korozję) lub równoważna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7F1FEA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7F1FEA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1FE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nie ulegają uszkodzeniu podczas: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podczas sterylizacji parowej w temperaturze 134 stopni Celsjusza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i dezynfekcji maszynowej w myjniach – dezynfektorach o konstrukcji zgodnej z PN-EN 15883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oraz w roztworach preparatów dezynfekcyjnych dopuszczonych do obrotu na terenie UE.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382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dodatkowo oznakowanie oprócz oznakowania wytwórcy: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trwałym napisem: COP 2018 metodą elektrochemiczną lub laserową (z wyjątkiem narzędzi i urządzeń na których z przyczyn technicznych takie znakowanie jest niemożliwe)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833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unikalnym kodem w systemie DATA MATRIX naniesionym techniką laserową bądź udarową (z wyjątkiem narzędzi i urządzeń na których z przyczyn technicznych takie znakowanie jest niemożliwe)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kod DATA MATRIX musi być dobrze czytany przez skaner kodów DATA MATRIX używany przez Zamawiającego,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narzędzia o identycznym numerze katalogowym nie mogą posiadać identycznego oznakowania !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874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Dostawca zobowiązany będzie do dołączenia przy dostawie fotografii narzędzi pojedynczych oraz całych zestawów narzędziowych z uwzględnieniem nazwy i określeniem nr katalogu, a w przypadku zestawu – całego zestawu ( 1 kpl w wersji papierowej i 1 kpl w wersji elektronicznej).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1106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udzielana do 60 miesięcy  na trwałość oznaczeń  na narzędziach, jednak okres ten nie może być krótszy niż okres gwarancji na narzędzie chirurgiczne.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.- 15 pkt, 48 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- 10 pkt., poniżej 48 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.- 0 pkt.</w:t>
            </w:r>
          </w:p>
        </w:tc>
      </w:tr>
      <w:tr w:rsidR="007F1FEA" w:rsidRPr="002E4D5D" w:rsidTr="000A0DC7">
        <w:trPr>
          <w:trHeight w:val="110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narzędzia</w:t>
            </w: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udzielana do 48 miesięcy,  jednak okres ten nie może być krótszy niż 24 m-ce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8E16CD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- 25 pkt, 36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- 15 pkt, poniżej 36 m-</w:t>
            </w:r>
            <w:proofErr w:type="spellStart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8E1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- 0 pkt.</w:t>
            </w:r>
          </w:p>
        </w:tc>
      </w:tr>
      <w:tr w:rsidR="007F1FEA" w:rsidRPr="002E4D5D" w:rsidTr="000A0DC7">
        <w:trPr>
          <w:trHeight w:val="833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Dostawca narzędzi podał listę środków czyszczących dopuszczonych do manualnego doczyszczania trudnych zabrudzeń na instrumentarium – przy dostawie.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Wymienione środki muszą być skuteczne w usuwaniu trudnych zabrudzeń z narzędzi, bez uszkadzania tych narzędzi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wymaga, aby Dostawca narzędzi podał listę środków do konserwacji narzędzi przed sterylizacją parową – w formie  papierowej (3 kpl) i elektronicznej ( 1 kpl). przy  dostawie.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Środki konserwujące nie mogą utrudniać procesu sterylizacji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substancja konserwująca instrumentarium musi przepuszczać czynnik sterylizujący zapewniając skuteczną sterylizację.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narzędzi dostarczy przy dostawie: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Katalog narzędziowy producenta oferowanego sprzętu wraz z opisem oferowanego produktu w języku polskim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Informację o wadze netto każdego z narzędzi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560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Instrukcję obsługi ( montażu/ demontażu narzędzi, które tych czynności wymagają) w języku polskim w wersji papierowej ( 3 kpl) i w wersji elektronicznej (1kpl)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755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C90003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sobie prawo żądania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próbki,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1 szt. oferowanego wyrobu w celu stwierdzenia, że odpowiada on wymaganiom zamawiającego.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833"/>
        </w:trPr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C90003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0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Wzory należy dostarczyć w przezroczystym, otwieralnym  opakowaniu,  opisanym pełną nazwą narzędzia, i oznaczeniem katalogowym oraz numerem i pozycją Pakietu Zamawiającego.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  <w:tr w:rsidR="007F1FEA" w:rsidRPr="002E4D5D" w:rsidTr="000A0DC7">
        <w:trPr>
          <w:trHeight w:val="286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d</w:t>
            </w: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grudnia 2018.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FEA" w:rsidRPr="00452B7C" w:rsidRDefault="007F1FEA" w:rsidP="007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FEA" w:rsidRPr="00452B7C" w:rsidRDefault="007F1FEA" w:rsidP="007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punktów</w:t>
            </w:r>
          </w:p>
        </w:tc>
      </w:tr>
    </w:tbl>
    <w:p w:rsidR="00452B7C" w:rsidRPr="002E4D5D" w:rsidRDefault="00452B7C">
      <w:pPr>
        <w:rPr>
          <w:rFonts w:ascii="Times New Roman" w:hAnsi="Times New Roman" w:cs="Times New Roman"/>
          <w:sz w:val="20"/>
          <w:szCs w:val="20"/>
        </w:rPr>
      </w:pPr>
    </w:p>
    <w:sectPr w:rsidR="00452B7C" w:rsidRPr="002E4D5D" w:rsidSect="009E3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30B"/>
    <w:multiLevelType w:val="hybridMultilevel"/>
    <w:tmpl w:val="5FEE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05C2"/>
    <w:multiLevelType w:val="hybridMultilevel"/>
    <w:tmpl w:val="44E2D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1997"/>
    <w:multiLevelType w:val="hybridMultilevel"/>
    <w:tmpl w:val="E5B4F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40"/>
    <w:rsid w:val="00066AC0"/>
    <w:rsid w:val="000A0DC7"/>
    <w:rsid w:val="000A6B32"/>
    <w:rsid w:val="0012351B"/>
    <w:rsid w:val="001742F2"/>
    <w:rsid w:val="001806FD"/>
    <w:rsid w:val="00236B7D"/>
    <w:rsid w:val="00287871"/>
    <w:rsid w:val="002E4D5D"/>
    <w:rsid w:val="003B15D2"/>
    <w:rsid w:val="003B352B"/>
    <w:rsid w:val="00452B7C"/>
    <w:rsid w:val="00487B3B"/>
    <w:rsid w:val="00493FFB"/>
    <w:rsid w:val="00547C25"/>
    <w:rsid w:val="00576607"/>
    <w:rsid w:val="00595E47"/>
    <w:rsid w:val="007F1FEA"/>
    <w:rsid w:val="008E16CD"/>
    <w:rsid w:val="00991B97"/>
    <w:rsid w:val="009D0746"/>
    <w:rsid w:val="009E3340"/>
    <w:rsid w:val="00B27FCC"/>
    <w:rsid w:val="00BB2B59"/>
    <w:rsid w:val="00C90003"/>
    <w:rsid w:val="00CB54AC"/>
    <w:rsid w:val="00CD6E14"/>
    <w:rsid w:val="00D566B0"/>
    <w:rsid w:val="00DF3470"/>
    <w:rsid w:val="00E36104"/>
    <w:rsid w:val="00E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0AE0-F5D6-4FB0-9F18-ADC4FB3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742F2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36B7D"/>
    <w:pPr>
      <w:ind w:left="720"/>
      <w:contextualSpacing/>
    </w:pPr>
  </w:style>
  <w:style w:type="table" w:styleId="Tabela-Siatka">
    <w:name w:val="Table Grid"/>
    <w:basedOn w:val="Standardowy"/>
    <w:uiPriority w:val="39"/>
    <w:rsid w:val="0012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26</cp:revision>
  <dcterms:created xsi:type="dcterms:W3CDTF">2018-09-21T08:07:00Z</dcterms:created>
  <dcterms:modified xsi:type="dcterms:W3CDTF">2018-11-02T06:58:00Z</dcterms:modified>
</cp:coreProperties>
</file>