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D7" w:rsidRPr="0042603A" w:rsidRDefault="006074D7" w:rsidP="0042603A">
      <w:pPr>
        <w:rPr>
          <w:rFonts w:ascii="Calibri" w:hAnsi="Calibri"/>
          <w:sz w:val="2"/>
          <w:szCs w:val="2"/>
        </w:rPr>
        <w:sectPr w:rsidR="006074D7" w:rsidRPr="0042603A" w:rsidSect="0042603A">
          <w:type w:val="continuous"/>
          <w:pgSz w:w="11900" w:h="16840"/>
          <w:pgMar w:top="204" w:right="0" w:bottom="385" w:left="1134" w:header="0" w:footer="3" w:gutter="0"/>
          <w:cols w:space="720"/>
          <w:noEndnote/>
          <w:docGrid w:linePitch="360"/>
        </w:sectPr>
      </w:pPr>
    </w:p>
    <w:p w:rsidR="006074D7" w:rsidRPr="0042603A" w:rsidRDefault="0011665C" w:rsidP="0042603A">
      <w:pPr>
        <w:spacing w:line="633" w:lineRule="exact"/>
        <w:rPr>
          <w:rFonts w:ascii="Calibri" w:hAnsi="Calibri"/>
        </w:rPr>
      </w:pPr>
      <w:r>
        <w:rPr>
          <w:rFonts w:ascii="Calibri" w:hAnsi="Calibri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9.5pt;margin-top:0;width:112.85pt;height:14.05pt;z-index:251651584;mso-wrap-distance-left:5pt;mso-wrap-distance-right:5pt;mso-position-horizontal-relative:margin" filled="f" stroked="f">
            <v:textbox style="mso-fit-shape-to-text:t" inset="0,0,0,0">
              <w:txbxContent>
                <w:p w:rsidR="005326C0" w:rsidRDefault="005326C0">
                  <w:pPr>
                    <w:pStyle w:val="20"/>
                    <w:shd w:val="clear" w:color="auto" w:fill="auto"/>
                    <w:spacing w:line="220" w:lineRule="exact"/>
                  </w:pPr>
                </w:p>
              </w:txbxContent>
            </v:textbox>
            <w10:wrap anchorx="margin"/>
          </v:shape>
        </w:pict>
      </w:r>
    </w:p>
    <w:p w:rsidR="006074D7" w:rsidRPr="0042603A" w:rsidRDefault="006074D7" w:rsidP="0042603A">
      <w:pPr>
        <w:rPr>
          <w:rFonts w:ascii="Calibri" w:hAnsi="Calibri"/>
          <w:sz w:val="2"/>
          <w:szCs w:val="2"/>
        </w:rPr>
        <w:sectPr w:rsidR="006074D7" w:rsidRPr="0042603A" w:rsidSect="008F086C">
          <w:type w:val="continuous"/>
          <w:pgSz w:w="11900" w:h="16840"/>
          <w:pgMar w:top="709" w:right="683" w:bottom="993" w:left="1134" w:header="0" w:footer="3" w:gutter="0"/>
          <w:cols w:space="720"/>
          <w:noEndnote/>
          <w:docGrid w:linePitch="360"/>
        </w:sectPr>
      </w:pPr>
    </w:p>
    <w:p w:rsidR="006074D7" w:rsidRPr="0042603A" w:rsidRDefault="006074D7" w:rsidP="0042603A">
      <w:pPr>
        <w:spacing w:line="199" w:lineRule="exact"/>
        <w:rPr>
          <w:rFonts w:ascii="Calibri" w:hAnsi="Calibri"/>
          <w:sz w:val="16"/>
          <w:szCs w:val="16"/>
        </w:rPr>
      </w:pPr>
    </w:p>
    <w:p w:rsidR="0042603A" w:rsidRDefault="004A4FB3" w:rsidP="0042603A">
      <w:pPr>
        <w:pStyle w:val="20"/>
        <w:shd w:val="clear" w:color="auto" w:fill="auto"/>
        <w:spacing w:line="410" w:lineRule="exact"/>
        <w:ind w:left="426"/>
        <w:jc w:val="both"/>
        <w:rPr>
          <w:rFonts w:ascii="Calibri" w:hAnsi="Calibri"/>
          <w:b/>
          <w:sz w:val="24"/>
          <w:szCs w:val="24"/>
          <w:u w:val="single"/>
        </w:rPr>
      </w:pPr>
      <w:r w:rsidRPr="00AA0B74">
        <w:rPr>
          <w:rFonts w:ascii="Calibri" w:hAnsi="Calibri"/>
          <w:b/>
          <w:sz w:val="24"/>
          <w:szCs w:val="24"/>
          <w:u w:val="single"/>
        </w:rPr>
        <w:t>ZESTAW NR</w:t>
      </w:r>
      <w:r w:rsidR="0042603A" w:rsidRPr="00AA0B74">
        <w:rPr>
          <w:rFonts w:ascii="Calibri" w:hAnsi="Calibri"/>
          <w:b/>
          <w:sz w:val="24"/>
          <w:szCs w:val="24"/>
          <w:u w:val="single"/>
        </w:rPr>
        <w:t xml:space="preserve"> 8</w:t>
      </w:r>
    </w:p>
    <w:p w:rsidR="00AA0B74" w:rsidRPr="00AA0B74" w:rsidRDefault="00AA0B74" w:rsidP="0042603A">
      <w:pPr>
        <w:pStyle w:val="20"/>
        <w:shd w:val="clear" w:color="auto" w:fill="auto"/>
        <w:spacing w:line="410" w:lineRule="exact"/>
        <w:ind w:left="426"/>
        <w:jc w:val="both"/>
        <w:rPr>
          <w:rFonts w:ascii="Calibri" w:hAnsi="Calibri"/>
          <w:b/>
          <w:sz w:val="24"/>
          <w:szCs w:val="24"/>
          <w:u w:val="single"/>
        </w:rPr>
      </w:pPr>
    </w:p>
    <w:p w:rsidR="0042603A" w:rsidRDefault="00481F0E" w:rsidP="00AA0B74">
      <w:pPr>
        <w:pStyle w:val="20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Calibri" w:hAnsi="Calibri"/>
        </w:rPr>
      </w:pPr>
      <w:r w:rsidRPr="0042603A">
        <w:rPr>
          <w:rFonts w:ascii="Calibri" w:hAnsi="Calibri"/>
        </w:rPr>
        <w:t xml:space="preserve">Czy Zamawiający dopuści do zaoferowania front monitora pokryty warstwą bakteriobójczą działającą pod wpływem światła zgodnie z obowiązującymi standardami w Unii Europejskiej a zatem i w Polsce a nie przemysłowe standardy Japońskie JIS </w:t>
      </w:r>
      <w:r w:rsidRPr="0042603A">
        <w:rPr>
          <w:rFonts w:ascii="Calibri" w:hAnsi="Calibri"/>
          <w:lang w:eastAsia="en-US" w:bidi="en-US"/>
        </w:rPr>
        <w:t xml:space="preserve">(JAPANESE INDUSTRIAL </w:t>
      </w:r>
      <w:r w:rsidRPr="0042603A">
        <w:rPr>
          <w:rFonts w:ascii="Calibri" w:hAnsi="Calibri"/>
        </w:rPr>
        <w:t xml:space="preserve">STANDARD)? Certyfikat JIS podczas certyfikacji przebadany był pod kątem szczepów takich jak: </w:t>
      </w:r>
      <w:proofErr w:type="spellStart"/>
      <w:r w:rsidRPr="0042603A">
        <w:rPr>
          <w:rFonts w:ascii="Calibri" w:hAnsi="Calibri"/>
          <w:lang w:eastAsia="en-US" w:bidi="en-US"/>
        </w:rPr>
        <w:t>Staphylococcus</w:t>
      </w:r>
      <w:proofErr w:type="spellEnd"/>
      <w:r w:rsidRPr="0042603A">
        <w:rPr>
          <w:rFonts w:ascii="Calibri" w:hAnsi="Calibri"/>
          <w:lang w:eastAsia="en-US" w:bidi="en-US"/>
        </w:rPr>
        <w:t xml:space="preserve"> </w:t>
      </w:r>
      <w:proofErr w:type="spellStart"/>
      <w:r w:rsidRPr="0042603A">
        <w:rPr>
          <w:rFonts w:ascii="Calibri" w:hAnsi="Calibri"/>
          <w:lang w:eastAsia="en-US" w:bidi="en-US"/>
        </w:rPr>
        <w:t>aureus</w:t>
      </w:r>
      <w:proofErr w:type="spellEnd"/>
      <w:r w:rsidRPr="0042603A">
        <w:rPr>
          <w:rFonts w:ascii="Calibri" w:hAnsi="Calibri"/>
          <w:lang w:eastAsia="en-US" w:bidi="en-US"/>
        </w:rPr>
        <w:t xml:space="preserve">, </w:t>
      </w:r>
      <w:proofErr w:type="spellStart"/>
      <w:r w:rsidRPr="0042603A">
        <w:rPr>
          <w:rFonts w:ascii="Calibri" w:hAnsi="Calibri"/>
          <w:lang w:eastAsia="en-US" w:bidi="en-US"/>
        </w:rPr>
        <w:t>Enterococcus</w:t>
      </w:r>
      <w:proofErr w:type="spellEnd"/>
      <w:r w:rsidRPr="0042603A">
        <w:rPr>
          <w:rFonts w:ascii="Calibri" w:hAnsi="Calibri"/>
          <w:lang w:eastAsia="en-US" w:bidi="en-US"/>
        </w:rPr>
        <w:t xml:space="preserve"> </w:t>
      </w:r>
      <w:proofErr w:type="spellStart"/>
      <w:r w:rsidRPr="0042603A">
        <w:rPr>
          <w:rFonts w:ascii="Calibri" w:hAnsi="Calibri"/>
          <w:lang w:eastAsia="en-US" w:bidi="en-US"/>
        </w:rPr>
        <w:t>faecium</w:t>
      </w:r>
      <w:proofErr w:type="spellEnd"/>
      <w:r w:rsidRPr="0042603A">
        <w:rPr>
          <w:rFonts w:ascii="Calibri" w:hAnsi="Calibri"/>
          <w:lang w:eastAsia="en-US" w:bidi="en-US"/>
        </w:rPr>
        <w:t xml:space="preserve">, </w:t>
      </w:r>
      <w:proofErr w:type="spellStart"/>
      <w:r w:rsidRPr="0042603A">
        <w:rPr>
          <w:rFonts w:ascii="Calibri" w:hAnsi="Calibri"/>
          <w:lang w:eastAsia="en-US" w:bidi="en-US"/>
        </w:rPr>
        <w:t>Enterococcus</w:t>
      </w:r>
      <w:proofErr w:type="spellEnd"/>
      <w:r w:rsidRPr="0042603A">
        <w:rPr>
          <w:rFonts w:ascii="Calibri" w:hAnsi="Calibri"/>
          <w:lang w:eastAsia="en-US" w:bidi="en-US"/>
        </w:rPr>
        <w:t xml:space="preserve"> </w:t>
      </w:r>
      <w:proofErr w:type="spellStart"/>
      <w:r w:rsidRPr="0042603A">
        <w:rPr>
          <w:rFonts w:ascii="Calibri" w:hAnsi="Calibri"/>
          <w:lang w:eastAsia="en-US" w:bidi="en-US"/>
        </w:rPr>
        <w:t>hirae</w:t>
      </w:r>
      <w:proofErr w:type="spellEnd"/>
      <w:r w:rsidRPr="0042603A">
        <w:rPr>
          <w:rFonts w:ascii="Calibri" w:hAnsi="Calibri"/>
          <w:lang w:eastAsia="en-US" w:bidi="en-US"/>
        </w:rPr>
        <w:t xml:space="preserve">, </w:t>
      </w:r>
      <w:proofErr w:type="spellStart"/>
      <w:r w:rsidRPr="0042603A">
        <w:rPr>
          <w:rFonts w:ascii="Calibri" w:hAnsi="Calibri"/>
          <w:lang w:eastAsia="en-US" w:bidi="en-US"/>
        </w:rPr>
        <w:t>Escherichia</w:t>
      </w:r>
      <w:proofErr w:type="spellEnd"/>
      <w:r w:rsidRPr="0042603A">
        <w:rPr>
          <w:rFonts w:ascii="Calibri" w:hAnsi="Calibri"/>
          <w:lang w:eastAsia="en-US" w:bidi="en-US"/>
        </w:rPr>
        <w:t xml:space="preserve"> </w:t>
      </w:r>
      <w:r w:rsidRPr="0042603A">
        <w:rPr>
          <w:rFonts w:ascii="Calibri" w:hAnsi="Calibri"/>
        </w:rPr>
        <w:t xml:space="preserve">coli, </w:t>
      </w:r>
      <w:proofErr w:type="spellStart"/>
      <w:r w:rsidRPr="0042603A">
        <w:rPr>
          <w:rFonts w:ascii="Calibri" w:hAnsi="Calibri"/>
          <w:lang w:eastAsia="en-US" w:bidi="en-US"/>
        </w:rPr>
        <w:t>Pseudomonas</w:t>
      </w:r>
      <w:proofErr w:type="spellEnd"/>
      <w:r w:rsidRPr="0042603A">
        <w:rPr>
          <w:rFonts w:ascii="Calibri" w:hAnsi="Calibri"/>
          <w:lang w:eastAsia="en-US" w:bidi="en-US"/>
        </w:rPr>
        <w:t xml:space="preserve"> </w:t>
      </w:r>
      <w:proofErr w:type="spellStart"/>
      <w:r w:rsidRPr="0042603A">
        <w:rPr>
          <w:rFonts w:ascii="Calibri" w:hAnsi="Calibri"/>
          <w:lang w:eastAsia="en-US" w:bidi="en-US"/>
        </w:rPr>
        <w:t>aeruginosa</w:t>
      </w:r>
      <w:proofErr w:type="spellEnd"/>
      <w:r w:rsidRPr="0042603A">
        <w:rPr>
          <w:rFonts w:ascii="Calibri" w:hAnsi="Calibri"/>
          <w:lang w:eastAsia="en-US" w:bidi="en-US"/>
        </w:rPr>
        <w:t xml:space="preserve">, </w:t>
      </w:r>
      <w:proofErr w:type="spellStart"/>
      <w:r w:rsidRPr="0042603A">
        <w:rPr>
          <w:rFonts w:ascii="Calibri" w:hAnsi="Calibri"/>
          <w:lang w:eastAsia="en-US" w:bidi="en-US"/>
        </w:rPr>
        <w:t>Proteus</w:t>
      </w:r>
      <w:proofErr w:type="spellEnd"/>
      <w:r w:rsidRPr="0042603A">
        <w:rPr>
          <w:rFonts w:ascii="Calibri" w:hAnsi="Calibri"/>
          <w:lang w:eastAsia="en-US" w:bidi="en-US"/>
        </w:rPr>
        <w:t xml:space="preserve"> </w:t>
      </w:r>
      <w:proofErr w:type="spellStart"/>
      <w:r w:rsidRPr="0042603A">
        <w:rPr>
          <w:rFonts w:ascii="Calibri" w:hAnsi="Calibri"/>
          <w:lang w:eastAsia="en-US" w:bidi="en-US"/>
        </w:rPr>
        <w:t>mirabilis</w:t>
      </w:r>
      <w:proofErr w:type="spellEnd"/>
      <w:r w:rsidRPr="0042603A">
        <w:rPr>
          <w:rFonts w:ascii="Calibri" w:hAnsi="Calibri"/>
          <w:lang w:eastAsia="en-US" w:bidi="en-US"/>
        </w:rPr>
        <w:t xml:space="preserve">, Candida </w:t>
      </w:r>
      <w:proofErr w:type="spellStart"/>
      <w:r w:rsidRPr="0042603A">
        <w:rPr>
          <w:rFonts w:ascii="Calibri" w:hAnsi="Calibri"/>
          <w:lang w:eastAsia="en-US" w:bidi="en-US"/>
        </w:rPr>
        <w:t>albicans</w:t>
      </w:r>
      <w:proofErr w:type="spellEnd"/>
      <w:r w:rsidRPr="0042603A">
        <w:rPr>
          <w:rFonts w:ascii="Calibri" w:hAnsi="Calibri"/>
          <w:lang w:eastAsia="en-US" w:bidi="en-US"/>
        </w:rPr>
        <w:t xml:space="preserve">, Aspergillus Niger </w:t>
      </w:r>
      <w:r w:rsidRPr="0042603A">
        <w:rPr>
          <w:rFonts w:ascii="Calibri" w:hAnsi="Calibri"/>
        </w:rPr>
        <w:t xml:space="preserve">a ich biodegradacja została oznaczona na poziomie </w:t>
      </w:r>
      <w:r w:rsidRPr="0042603A">
        <w:rPr>
          <w:rFonts w:ascii="Calibri" w:hAnsi="Calibri"/>
          <w:lang w:eastAsia="en-US" w:bidi="en-US"/>
        </w:rPr>
        <w:t>4x1</w:t>
      </w:r>
      <w:r w:rsidRPr="0042603A">
        <w:rPr>
          <w:rFonts w:ascii="Calibri" w:hAnsi="Calibri"/>
        </w:rPr>
        <w:t>0</w:t>
      </w:r>
      <w:r w:rsidRPr="0042603A">
        <w:rPr>
          <w:rFonts w:ascii="Calibri" w:hAnsi="Calibri"/>
          <w:vertAlign w:val="superscript"/>
        </w:rPr>
        <w:t>A</w:t>
      </w:r>
      <w:r w:rsidRPr="0042603A">
        <w:rPr>
          <w:rFonts w:ascii="Calibri" w:hAnsi="Calibri"/>
        </w:rPr>
        <w:t xml:space="preserve">6 </w:t>
      </w:r>
      <w:proofErr w:type="spellStart"/>
      <w:r w:rsidRPr="0042603A">
        <w:rPr>
          <w:rFonts w:ascii="Calibri" w:hAnsi="Calibri"/>
        </w:rPr>
        <w:t>cfu</w:t>
      </w:r>
      <w:proofErr w:type="spellEnd"/>
      <w:r w:rsidRPr="0042603A">
        <w:rPr>
          <w:rFonts w:ascii="Calibri" w:hAnsi="Calibri"/>
        </w:rPr>
        <w:t>/ml co zostało potwierdzone certyfikatem i jest wynikiem znacznie lepszym od wymaganego w opisie przedmiotu zamówienia.</w:t>
      </w:r>
      <w:r w:rsidR="0042603A" w:rsidRPr="0042603A">
        <w:rPr>
          <w:rFonts w:ascii="Calibri" w:hAnsi="Calibri"/>
        </w:rPr>
        <w:t xml:space="preserve">  (Zal.l-EL-39 pozycja 71)</w:t>
      </w:r>
    </w:p>
    <w:p w:rsidR="00D11E02" w:rsidRPr="00D11E02" w:rsidRDefault="00D11E02" w:rsidP="00AA0B74">
      <w:pPr>
        <w:pStyle w:val="20"/>
        <w:shd w:val="clear" w:color="auto" w:fill="auto"/>
        <w:spacing w:line="240" w:lineRule="auto"/>
        <w:ind w:left="720"/>
        <w:jc w:val="both"/>
        <w:rPr>
          <w:rFonts w:ascii="Calibri" w:hAnsi="Calibri"/>
        </w:rPr>
      </w:pPr>
    </w:p>
    <w:p w:rsidR="00D11E02" w:rsidRPr="00D11E02" w:rsidRDefault="00D11E02" w:rsidP="00D11E02">
      <w:pPr>
        <w:pStyle w:val="20"/>
        <w:shd w:val="clear" w:color="auto" w:fill="auto"/>
        <w:spacing w:line="288" w:lineRule="exact"/>
        <w:ind w:left="720"/>
        <w:rPr>
          <w:rFonts w:ascii="Calibri" w:hAnsi="Calibri"/>
          <w:b/>
        </w:rPr>
      </w:pPr>
      <w:r w:rsidRPr="00D11E02">
        <w:rPr>
          <w:rFonts w:ascii="Calibri" w:hAnsi="Calibri"/>
          <w:b/>
        </w:rPr>
        <w:t>Ad. 1</w:t>
      </w:r>
    </w:p>
    <w:p w:rsidR="00D11E02" w:rsidRPr="00D11E02" w:rsidRDefault="00D11E02" w:rsidP="00B25E90">
      <w:pPr>
        <w:pStyle w:val="20"/>
        <w:shd w:val="clear" w:color="auto" w:fill="auto"/>
        <w:spacing w:line="288" w:lineRule="exact"/>
        <w:ind w:left="720"/>
        <w:rPr>
          <w:rFonts w:ascii="Calibri" w:hAnsi="Calibri"/>
          <w:b/>
        </w:rPr>
      </w:pPr>
      <w:r w:rsidRPr="00D11E02">
        <w:rPr>
          <w:rFonts w:ascii="Calibri" w:hAnsi="Calibri"/>
          <w:b/>
        </w:rPr>
        <w:t xml:space="preserve">Tak. Zamawiający dopuszcza zaproponowane rozwiązanie. Dodatkowo przypomina, iż akceptacja zaproponowanego modelu wyposażenia podlega akceptacji na etapie kart materiałowych. Procedura akceptacji zgodna z SIWZ. </w:t>
      </w:r>
    </w:p>
    <w:p w:rsidR="00D11E02" w:rsidRDefault="00D11E02" w:rsidP="00D11E02">
      <w:pPr>
        <w:pStyle w:val="20"/>
        <w:shd w:val="clear" w:color="auto" w:fill="auto"/>
        <w:tabs>
          <w:tab w:val="left" w:pos="773"/>
        </w:tabs>
        <w:spacing w:line="288" w:lineRule="exact"/>
        <w:ind w:left="720"/>
        <w:rPr>
          <w:b/>
        </w:rPr>
      </w:pPr>
    </w:p>
    <w:p w:rsidR="0042603A" w:rsidRDefault="00481F0E" w:rsidP="00AA0B74">
      <w:pPr>
        <w:pStyle w:val="20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Calibri" w:hAnsi="Calibri"/>
        </w:rPr>
      </w:pPr>
      <w:r w:rsidRPr="0042603A">
        <w:rPr>
          <w:rFonts w:ascii="Calibri" w:hAnsi="Calibri"/>
        </w:rPr>
        <w:t xml:space="preserve">Czy Zamawiający zrezygnuje z opisanej w pkt. 84 Zespolonej </w:t>
      </w:r>
      <w:proofErr w:type="spellStart"/>
      <w:r w:rsidRPr="0042603A">
        <w:rPr>
          <w:rFonts w:ascii="Calibri" w:hAnsi="Calibri"/>
        </w:rPr>
        <w:t>samodezynfekującej</w:t>
      </w:r>
      <w:proofErr w:type="spellEnd"/>
      <w:r w:rsidRPr="0042603A">
        <w:rPr>
          <w:rFonts w:ascii="Calibri" w:hAnsi="Calibri"/>
        </w:rPr>
        <w:t xml:space="preserve"> klawiatury do obsługi urządzenia skoro </w:t>
      </w:r>
      <w:proofErr w:type="spellStart"/>
      <w:r w:rsidRPr="0042603A">
        <w:rPr>
          <w:rFonts w:ascii="Calibri" w:hAnsi="Calibri"/>
        </w:rPr>
        <w:t>wg</w:t>
      </w:r>
      <w:proofErr w:type="spellEnd"/>
      <w:r w:rsidRPr="0042603A">
        <w:rPr>
          <w:rFonts w:ascii="Calibri" w:hAnsi="Calibri"/>
        </w:rPr>
        <w:t>. zapisów w pkt. 108 to samo urządzenie ma być wyposażone w zespoloną klawiaturę silikonową?</w:t>
      </w:r>
    </w:p>
    <w:p w:rsidR="0042603A" w:rsidRDefault="0042603A" w:rsidP="0042603A">
      <w:pPr>
        <w:pStyle w:val="Akapitzlist"/>
        <w:rPr>
          <w:rFonts w:ascii="Calibri" w:hAnsi="Calibri"/>
        </w:rPr>
      </w:pPr>
    </w:p>
    <w:p w:rsidR="009D52ED" w:rsidRPr="009D52ED" w:rsidRDefault="009D52ED" w:rsidP="0042603A">
      <w:pPr>
        <w:pStyle w:val="Akapitzlist"/>
        <w:rPr>
          <w:rFonts w:ascii="Calibri" w:hAnsi="Calibri"/>
          <w:b/>
          <w:sz w:val="22"/>
          <w:szCs w:val="22"/>
        </w:rPr>
      </w:pPr>
      <w:r w:rsidRPr="009D52ED">
        <w:rPr>
          <w:rFonts w:ascii="Calibri" w:hAnsi="Calibri"/>
          <w:b/>
          <w:sz w:val="22"/>
          <w:szCs w:val="22"/>
        </w:rPr>
        <w:t xml:space="preserve">Ad. 2 </w:t>
      </w:r>
    </w:p>
    <w:p w:rsidR="0042603A" w:rsidRPr="009D52ED" w:rsidRDefault="009D52ED" w:rsidP="00AA0B74">
      <w:pPr>
        <w:pStyle w:val="20"/>
        <w:shd w:val="clear" w:color="auto" w:fill="auto"/>
        <w:spacing w:line="276" w:lineRule="auto"/>
        <w:ind w:left="720"/>
        <w:jc w:val="both"/>
        <w:rPr>
          <w:rFonts w:ascii="Calibri" w:hAnsi="Calibri"/>
          <w:b/>
        </w:rPr>
      </w:pPr>
      <w:r w:rsidRPr="009D52ED">
        <w:rPr>
          <w:rFonts w:ascii="Calibri" w:hAnsi="Calibri"/>
          <w:b/>
        </w:rPr>
        <w:t xml:space="preserve">W zakresie dostawy przewidziana </w:t>
      </w:r>
      <w:r>
        <w:rPr>
          <w:rFonts w:ascii="Calibri" w:hAnsi="Calibri"/>
          <w:b/>
        </w:rPr>
        <w:t>jest</w:t>
      </w:r>
      <w:r w:rsidRPr="009D52ED">
        <w:rPr>
          <w:rFonts w:ascii="Calibri" w:hAnsi="Calibri"/>
          <w:b/>
        </w:rPr>
        <w:t xml:space="preserve"> klawiatura </w:t>
      </w:r>
      <w:r>
        <w:rPr>
          <w:rFonts w:ascii="Calibri" w:hAnsi="Calibri"/>
          <w:b/>
        </w:rPr>
        <w:t xml:space="preserve">zgodna z zapisem </w:t>
      </w:r>
      <w:r w:rsidRPr="009D52ED">
        <w:rPr>
          <w:rFonts w:ascii="Calibri" w:hAnsi="Calibri"/>
          <w:b/>
        </w:rPr>
        <w:t xml:space="preserve">pkt. 84 </w:t>
      </w:r>
      <w:r>
        <w:rPr>
          <w:rFonts w:ascii="Calibri" w:hAnsi="Calibri"/>
          <w:b/>
        </w:rPr>
        <w:t>(</w:t>
      </w:r>
      <w:r w:rsidRPr="009D52ED">
        <w:rPr>
          <w:rFonts w:ascii="Calibri" w:hAnsi="Calibri"/>
          <w:b/>
        </w:rPr>
        <w:t xml:space="preserve">Zespolona </w:t>
      </w:r>
      <w:proofErr w:type="spellStart"/>
      <w:r w:rsidRPr="009D52ED">
        <w:rPr>
          <w:rFonts w:ascii="Calibri" w:hAnsi="Calibri"/>
          <w:b/>
        </w:rPr>
        <w:t>samodezynfekująca</w:t>
      </w:r>
      <w:proofErr w:type="spellEnd"/>
      <w:r w:rsidRPr="009D52ED">
        <w:rPr>
          <w:rFonts w:ascii="Calibri" w:hAnsi="Calibri"/>
          <w:b/>
        </w:rPr>
        <w:t xml:space="preserve"> się klawiatura do obsługi urządzenia</w:t>
      </w:r>
      <w:r>
        <w:rPr>
          <w:rFonts w:ascii="Calibri" w:hAnsi="Calibri"/>
          <w:b/>
        </w:rPr>
        <w:t>)</w:t>
      </w:r>
      <w:r w:rsidR="00637442">
        <w:rPr>
          <w:rFonts w:ascii="Calibri" w:hAnsi="Calibri"/>
          <w:b/>
        </w:rPr>
        <w:t>.</w:t>
      </w:r>
    </w:p>
    <w:p w:rsidR="009D52ED" w:rsidRPr="0042603A" w:rsidRDefault="009D52ED" w:rsidP="0042603A">
      <w:pPr>
        <w:pStyle w:val="20"/>
        <w:shd w:val="clear" w:color="auto" w:fill="auto"/>
        <w:spacing w:line="410" w:lineRule="exact"/>
        <w:ind w:left="720"/>
        <w:jc w:val="both"/>
        <w:rPr>
          <w:rFonts w:ascii="Calibri" w:hAnsi="Calibri"/>
        </w:rPr>
      </w:pPr>
    </w:p>
    <w:p w:rsidR="0042603A" w:rsidRDefault="00481F0E" w:rsidP="00AA0B74">
      <w:pPr>
        <w:pStyle w:val="20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Calibri" w:hAnsi="Calibri"/>
        </w:rPr>
      </w:pPr>
      <w:r w:rsidRPr="0042603A">
        <w:rPr>
          <w:rFonts w:ascii="Calibri" w:hAnsi="Calibri"/>
        </w:rPr>
        <w:t xml:space="preserve">Jakiej wielkości przekątną i powierzchnię użyteczną ma mieć monitor medyczny szt. 2 planowany do zamontowania w polu pracy na dedykowanych osobnych ramionach np. lampy operacyjnej? Pytanie </w:t>
      </w:r>
      <w:r w:rsidR="00036DA6" w:rsidRPr="0042603A">
        <w:rPr>
          <w:rFonts w:ascii="Calibri" w:hAnsi="Calibri"/>
        </w:rPr>
        <w:t>padło, ponieważ</w:t>
      </w:r>
      <w:r w:rsidRPr="0042603A">
        <w:rPr>
          <w:rFonts w:ascii="Calibri" w:hAnsi="Calibri"/>
        </w:rPr>
        <w:t xml:space="preserve"> w zapisach pojawiły się rozbieżne informacje i wymagania.</w:t>
      </w:r>
    </w:p>
    <w:p w:rsidR="00914727" w:rsidRDefault="00914727" w:rsidP="00AA0B74">
      <w:pPr>
        <w:pStyle w:val="20"/>
        <w:shd w:val="clear" w:color="auto" w:fill="auto"/>
        <w:spacing w:line="240" w:lineRule="auto"/>
        <w:ind w:left="720"/>
        <w:jc w:val="both"/>
        <w:rPr>
          <w:rFonts w:ascii="Calibri" w:hAnsi="Calibri"/>
        </w:rPr>
      </w:pPr>
    </w:p>
    <w:p w:rsidR="00914727" w:rsidRPr="00914727" w:rsidRDefault="00914727" w:rsidP="00914727">
      <w:pPr>
        <w:pStyle w:val="20"/>
        <w:shd w:val="clear" w:color="auto" w:fill="auto"/>
        <w:spacing w:line="410" w:lineRule="exact"/>
        <w:ind w:left="720"/>
        <w:jc w:val="both"/>
        <w:rPr>
          <w:rFonts w:ascii="Calibri" w:hAnsi="Calibri"/>
          <w:b/>
        </w:rPr>
      </w:pPr>
      <w:r w:rsidRPr="00914727">
        <w:rPr>
          <w:rFonts w:ascii="Calibri" w:hAnsi="Calibri"/>
          <w:b/>
        </w:rPr>
        <w:t>Ad. 3</w:t>
      </w:r>
    </w:p>
    <w:p w:rsidR="00914727" w:rsidRDefault="00914727" w:rsidP="00914727">
      <w:pPr>
        <w:pStyle w:val="20"/>
        <w:shd w:val="clear" w:color="auto" w:fill="auto"/>
        <w:spacing w:line="288" w:lineRule="exact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Zamawiający, jako wielkość monitorów medycznych zamontowanych w polu pracy na dedykowanych osobnych ramionach lampy operacyjnej</w:t>
      </w:r>
      <w:r w:rsidR="00DE6252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</w:t>
      </w:r>
      <w:r w:rsidR="00DE6252">
        <w:rPr>
          <w:rFonts w:ascii="Calibri" w:hAnsi="Calibri"/>
          <w:b/>
        </w:rPr>
        <w:t>przyjmuje wielkość 26”.</w:t>
      </w:r>
    </w:p>
    <w:p w:rsidR="00914727" w:rsidRPr="0042603A" w:rsidRDefault="00914727" w:rsidP="0075451F">
      <w:pPr>
        <w:pStyle w:val="20"/>
        <w:shd w:val="clear" w:color="auto" w:fill="auto"/>
        <w:spacing w:line="410" w:lineRule="exact"/>
        <w:jc w:val="both"/>
        <w:rPr>
          <w:rFonts w:ascii="Calibri" w:hAnsi="Calibri"/>
        </w:rPr>
      </w:pPr>
    </w:p>
    <w:p w:rsidR="0042603A" w:rsidRDefault="00481F0E" w:rsidP="00AA0B74">
      <w:pPr>
        <w:pStyle w:val="20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Calibri" w:hAnsi="Calibri"/>
        </w:rPr>
      </w:pPr>
      <w:r w:rsidRPr="0042603A">
        <w:rPr>
          <w:rFonts w:ascii="Calibri" w:hAnsi="Calibri"/>
        </w:rPr>
        <w:t>Czy zamawiający dopuści wymiar panelu frontowego wykonanego ze szkła hartowanego o wymiarach innych niż zapisane 500 x 1190?</w:t>
      </w:r>
      <w:r w:rsidR="0042603A" w:rsidRPr="0042603A">
        <w:rPr>
          <w:rFonts w:ascii="Calibri" w:hAnsi="Calibri"/>
        </w:rPr>
        <w:t xml:space="preserve"> (</w:t>
      </w:r>
      <w:proofErr w:type="spellStart"/>
      <w:r w:rsidR="0042603A" w:rsidRPr="0042603A">
        <w:rPr>
          <w:rFonts w:ascii="Calibri" w:hAnsi="Calibri"/>
        </w:rPr>
        <w:t>Zal</w:t>
      </w:r>
      <w:proofErr w:type="spellEnd"/>
      <w:r w:rsidR="0042603A" w:rsidRPr="0042603A">
        <w:rPr>
          <w:rFonts w:ascii="Calibri" w:hAnsi="Calibri"/>
        </w:rPr>
        <w:t>. 2 - EL-39N_poprawione)</w:t>
      </w:r>
    </w:p>
    <w:p w:rsidR="0042603A" w:rsidRDefault="0042603A" w:rsidP="00AA0B74">
      <w:pPr>
        <w:pStyle w:val="Akapitzlist"/>
        <w:rPr>
          <w:rFonts w:ascii="Calibri" w:hAnsi="Calibri"/>
        </w:rPr>
      </w:pPr>
    </w:p>
    <w:p w:rsidR="0042603A" w:rsidRPr="005D1F80" w:rsidRDefault="005D1F80" w:rsidP="0042603A">
      <w:pPr>
        <w:pStyle w:val="20"/>
        <w:shd w:val="clear" w:color="auto" w:fill="auto"/>
        <w:spacing w:line="410" w:lineRule="exact"/>
        <w:ind w:left="720"/>
        <w:jc w:val="both"/>
        <w:rPr>
          <w:rFonts w:ascii="Calibri" w:hAnsi="Calibri"/>
          <w:b/>
        </w:rPr>
      </w:pPr>
      <w:r w:rsidRPr="005D1F80">
        <w:rPr>
          <w:rFonts w:ascii="Calibri" w:hAnsi="Calibri"/>
          <w:b/>
        </w:rPr>
        <w:t>Ad 4.</w:t>
      </w:r>
    </w:p>
    <w:p w:rsidR="00AA0B74" w:rsidRPr="00AA0B74" w:rsidRDefault="005D1F80" w:rsidP="00AA0B74">
      <w:pPr>
        <w:pStyle w:val="20"/>
        <w:shd w:val="clear" w:color="auto" w:fill="auto"/>
        <w:spacing w:line="288" w:lineRule="exact"/>
        <w:ind w:left="720"/>
        <w:rPr>
          <w:rFonts w:ascii="Calibri" w:hAnsi="Calibri"/>
          <w:b/>
        </w:rPr>
      </w:pPr>
      <w:r w:rsidRPr="00D11E02">
        <w:rPr>
          <w:rFonts w:ascii="Calibri" w:hAnsi="Calibri"/>
          <w:b/>
        </w:rPr>
        <w:t xml:space="preserve">Tak. Zamawiający dopuszcza zaproponowane rozwiązanie. Dodatkowo przypomina, iż akceptacja zaproponowanego modelu wyposażenia podlega akceptacji na etapie kart materiałowych. Procedura akceptacji zgodna z SIWZ. </w:t>
      </w:r>
    </w:p>
    <w:p w:rsidR="00AA0B74" w:rsidRPr="0042603A" w:rsidRDefault="00AA0B74" w:rsidP="0042603A">
      <w:pPr>
        <w:pStyle w:val="20"/>
        <w:shd w:val="clear" w:color="auto" w:fill="auto"/>
        <w:spacing w:line="410" w:lineRule="exact"/>
        <w:ind w:left="720"/>
        <w:jc w:val="both"/>
        <w:rPr>
          <w:rFonts w:ascii="Calibri" w:hAnsi="Calibri"/>
        </w:rPr>
      </w:pPr>
    </w:p>
    <w:p w:rsidR="0042603A" w:rsidRPr="0042603A" w:rsidRDefault="00481F0E" w:rsidP="00AA0B74">
      <w:pPr>
        <w:pStyle w:val="20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Calibri" w:hAnsi="Calibri"/>
        </w:rPr>
      </w:pPr>
      <w:r w:rsidRPr="0042603A">
        <w:rPr>
          <w:rFonts w:ascii="Calibri" w:hAnsi="Calibri"/>
        </w:rPr>
        <w:t>Opisana w załączniku funkcjonalność aplikacji klienckiej daje możliwość definiowania użytkowników systemu (lekarzy, pielęgniarek) i przypisywania ich do konkretnych zabiegów.</w:t>
      </w:r>
    </w:p>
    <w:p w:rsidR="008F086C" w:rsidRDefault="00481F0E" w:rsidP="008F086C">
      <w:pPr>
        <w:pStyle w:val="20"/>
        <w:shd w:val="clear" w:color="auto" w:fill="auto"/>
        <w:spacing w:line="276" w:lineRule="auto"/>
        <w:ind w:left="720"/>
        <w:jc w:val="both"/>
        <w:rPr>
          <w:rFonts w:ascii="Calibri" w:hAnsi="Calibri"/>
        </w:rPr>
      </w:pPr>
      <w:r w:rsidRPr="0042603A">
        <w:rPr>
          <w:rFonts w:ascii="Calibri" w:hAnsi="Calibri"/>
        </w:rPr>
        <w:t>Który użytkownik otrzymuje prawa przypisywania lekarzy i pielęgniarek do konkretnych zabiegów?</w:t>
      </w:r>
    </w:p>
    <w:p w:rsidR="008F086C" w:rsidRDefault="008F086C" w:rsidP="008F086C">
      <w:pPr>
        <w:pStyle w:val="20"/>
        <w:shd w:val="clear" w:color="auto" w:fill="auto"/>
        <w:spacing w:line="276" w:lineRule="auto"/>
        <w:ind w:left="720"/>
        <w:jc w:val="both"/>
        <w:rPr>
          <w:rFonts w:ascii="Calibri" w:hAnsi="Calibri"/>
        </w:rPr>
      </w:pPr>
    </w:p>
    <w:p w:rsidR="00E44BF7" w:rsidRPr="008F086C" w:rsidRDefault="00E44BF7" w:rsidP="008F086C">
      <w:pPr>
        <w:pStyle w:val="20"/>
        <w:shd w:val="clear" w:color="auto" w:fill="auto"/>
        <w:spacing w:line="276" w:lineRule="auto"/>
        <w:ind w:left="720"/>
        <w:jc w:val="both"/>
        <w:rPr>
          <w:rFonts w:ascii="Calibri" w:hAnsi="Calibri"/>
        </w:rPr>
      </w:pPr>
      <w:r w:rsidRPr="00E44BF7">
        <w:rPr>
          <w:rFonts w:ascii="Calibri" w:hAnsi="Calibri"/>
          <w:b/>
        </w:rPr>
        <w:t>Ad. 5</w:t>
      </w:r>
    </w:p>
    <w:p w:rsidR="00E44BF7" w:rsidRPr="00E44BF7" w:rsidRDefault="00E44BF7" w:rsidP="00AA0B74">
      <w:pPr>
        <w:pStyle w:val="20"/>
        <w:shd w:val="clear" w:color="auto" w:fill="auto"/>
        <w:spacing w:line="276" w:lineRule="auto"/>
        <w:ind w:left="720"/>
        <w:jc w:val="both"/>
        <w:rPr>
          <w:rFonts w:ascii="Calibri" w:hAnsi="Calibri"/>
          <w:b/>
        </w:rPr>
      </w:pPr>
      <w:r w:rsidRPr="00E44BF7">
        <w:rPr>
          <w:rFonts w:ascii="Calibri" w:hAnsi="Calibri"/>
          <w:b/>
        </w:rPr>
        <w:t xml:space="preserve">Zamawiający przedstawi podział na grupy uprawnień, na etapie ustaleń dotyczących warunków brzegowych </w:t>
      </w:r>
      <w:r w:rsidR="00AA0B74" w:rsidRPr="00E44BF7">
        <w:rPr>
          <w:rFonts w:ascii="Calibri" w:hAnsi="Calibri"/>
          <w:b/>
        </w:rPr>
        <w:t>aplikacji.</w:t>
      </w:r>
    </w:p>
    <w:p w:rsidR="0042603A" w:rsidRPr="0042603A" w:rsidRDefault="0042603A" w:rsidP="0042603A">
      <w:pPr>
        <w:pStyle w:val="20"/>
        <w:shd w:val="clear" w:color="auto" w:fill="auto"/>
        <w:spacing w:line="410" w:lineRule="exact"/>
        <w:ind w:left="720"/>
        <w:jc w:val="both"/>
        <w:rPr>
          <w:rFonts w:ascii="Calibri" w:hAnsi="Calibri"/>
        </w:rPr>
      </w:pPr>
    </w:p>
    <w:p w:rsidR="0042603A" w:rsidRDefault="00481F0E" w:rsidP="00AA0B74">
      <w:pPr>
        <w:pStyle w:val="20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Calibri" w:hAnsi="Calibri"/>
        </w:rPr>
      </w:pPr>
      <w:r w:rsidRPr="0042603A">
        <w:rPr>
          <w:rFonts w:ascii="Calibri" w:hAnsi="Calibri"/>
        </w:rPr>
        <w:t xml:space="preserve">Czy Zamawiający dopuści monitory 42” i 26” na ramieniu bez interfejsu optycznej sieci 10 </w:t>
      </w:r>
      <w:proofErr w:type="spellStart"/>
      <w:r w:rsidRPr="0042603A">
        <w:rPr>
          <w:rFonts w:ascii="Calibri" w:hAnsi="Calibri"/>
        </w:rPr>
        <w:t>Gb</w:t>
      </w:r>
      <w:proofErr w:type="spellEnd"/>
      <w:r w:rsidRPr="0042603A">
        <w:rPr>
          <w:rFonts w:ascii="Calibri" w:hAnsi="Calibri"/>
        </w:rPr>
        <w:t xml:space="preserve"> Ethernet FSP+ skoro w opisie monitory mają być podłączone przez porty </w:t>
      </w:r>
      <w:r w:rsidRPr="0042603A">
        <w:rPr>
          <w:rFonts w:ascii="Calibri" w:hAnsi="Calibri"/>
          <w:lang w:eastAsia="en-US" w:bidi="en-US"/>
        </w:rPr>
        <w:t xml:space="preserve">DVI </w:t>
      </w:r>
      <w:r w:rsidRPr="0042603A">
        <w:rPr>
          <w:rFonts w:ascii="Calibri" w:hAnsi="Calibri"/>
        </w:rPr>
        <w:t>lub HDMI?</w:t>
      </w:r>
    </w:p>
    <w:p w:rsidR="00AA0B74" w:rsidRDefault="00AA0B74" w:rsidP="00AA0B74">
      <w:pPr>
        <w:pStyle w:val="20"/>
        <w:shd w:val="clear" w:color="auto" w:fill="auto"/>
        <w:spacing w:line="240" w:lineRule="auto"/>
        <w:ind w:left="720"/>
        <w:jc w:val="both"/>
        <w:rPr>
          <w:rFonts w:ascii="Calibri" w:hAnsi="Calibri"/>
          <w:b/>
        </w:rPr>
      </w:pPr>
    </w:p>
    <w:p w:rsidR="00AA0B74" w:rsidRPr="00AA0B74" w:rsidRDefault="00AA0B74" w:rsidP="0042603A">
      <w:pPr>
        <w:pStyle w:val="20"/>
        <w:shd w:val="clear" w:color="auto" w:fill="auto"/>
        <w:spacing w:line="410" w:lineRule="exact"/>
        <w:ind w:left="720"/>
        <w:jc w:val="both"/>
        <w:rPr>
          <w:rFonts w:ascii="Calibri" w:hAnsi="Calibri"/>
          <w:b/>
        </w:rPr>
      </w:pPr>
      <w:r w:rsidRPr="00AA0B74">
        <w:rPr>
          <w:rFonts w:ascii="Calibri" w:hAnsi="Calibri"/>
          <w:b/>
        </w:rPr>
        <w:t>Ad. 6</w:t>
      </w:r>
    </w:p>
    <w:p w:rsidR="00AA0B74" w:rsidRPr="00D11E02" w:rsidRDefault="00AA0B74" w:rsidP="00AA0B74">
      <w:pPr>
        <w:pStyle w:val="20"/>
        <w:shd w:val="clear" w:color="auto" w:fill="auto"/>
        <w:spacing w:line="288" w:lineRule="exact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Tak. </w:t>
      </w:r>
      <w:r w:rsidRPr="00D11E02">
        <w:rPr>
          <w:rFonts w:ascii="Calibri" w:hAnsi="Calibri"/>
          <w:b/>
        </w:rPr>
        <w:t xml:space="preserve">Zamawiający dopuszcza zaproponowane rozwiązanie. Dodatkowo przypomina, iż akceptacja zaproponowanego modelu wyposażenia podlega akceptacji na etapie kart materiałowych. Procedura akceptacji zgodna z SIWZ. </w:t>
      </w:r>
    </w:p>
    <w:p w:rsidR="00AA0B74" w:rsidRPr="0042603A" w:rsidRDefault="00AA0B74" w:rsidP="0042603A">
      <w:pPr>
        <w:pStyle w:val="20"/>
        <w:shd w:val="clear" w:color="auto" w:fill="auto"/>
        <w:spacing w:line="410" w:lineRule="exact"/>
        <w:ind w:left="720"/>
        <w:jc w:val="both"/>
        <w:rPr>
          <w:rFonts w:ascii="Calibri" w:hAnsi="Calibri"/>
        </w:rPr>
      </w:pPr>
    </w:p>
    <w:p w:rsidR="0042603A" w:rsidRDefault="00481F0E" w:rsidP="00AA0B74">
      <w:pPr>
        <w:pStyle w:val="20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Calibri" w:hAnsi="Calibri"/>
        </w:rPr>
      </w:pPr>
      <w:r w:rsidRPr="0042603A">
        <w:rPr>
          <w:rFonts w:ascii="Calibri" w:hAnsi="Calibri"/>
        </w:rPr>
        <w:t xml:space="preserve">Czy Zamawiający dopuści zegar elektroniczny bez regulacji jasności nastawianej z przycisków skoro kolejny punkt sugeruje brak bezpośredniego dostępu do </w:t>
      </w:r>
      <w:r w:rsidR="00036DA6" w:rsidRPr="0042603A">
        <w:rPr>
          <w:rFonts w:ascii="Calibri" w:hAnsi="Calibri"/>
        </w:rPr>
        <w:t>zegara?</w:t>
      </w:r>
    </w:p>
    <w:p w:rsidR="0042603A" w:rsidRDefault="0042603A" w:rsidP="00AA0B74">
      <w:pPr>
        <w:pStyle w:val="Akapitzlist"/>
        <w:spacing w:line="276" w:lineRule="auto"/>
        <w:rPr>
          <w:rFonts w:ascii="Calibri" w:hAnsi="Calibri"/>
        </w:rPr>
      </w:pPr>
    </w:p>
    <w:p w:rsidR="00AA0B74" w:rsidRPr="00AA0B74" w:rsidRDefault="00AA0B74" w:rsidP="00AA0B74">
      <w:pPr>
        <w:pStyle w:val="20"/>
        <w:shd w:val="clear" w:color="auto" w:fill="auto"/>
        <w:spacing w:line="410" w:lineRule="exact"/>
        <w:ind w:left="720"/>
        <w:jc w:val="both"/>
        <w:rPr>
          <w:rFonts w:ascii="Calibri" w:hAnsi="Calibri"/>
          <w:b/>
        </w:rPr>
      </w:pPr>
      <w:r w:rsidRPr="00AA0B74">
        <w:rPr>
          <w:rFonts w:ascii="Calibri" w:hAnsi="Calibri"/>
          <w:b/>
        </w:rPr>
        <w:t xml:space="preserve">Ad. </w:t>
      </w:r>
      <w:r>
        <w:rPr>
          <w:rFonts w:ascii="Calibri" w:hAnsi="Calibri"/>
          <w:b/>
        </w:rPr>
        <w:t>7</w:t>
      </w:r>
    </w:p>
    <w:p w:rsidR="00AA0B74" w:rsidRPr="00D11E02" w:rsidRDefault="00AA0B74" w:rsidP="00AA0B74">
      <w:pPr>
        <w:pStyle w:val="20"/>
        <w:shd w:val="clear" w:color="auto" w:fill="auto"/>
        <w:spacing w:line="288" w:lineRule="exact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Tak. </w:t>
      </w:r>
      <w:r w:rsidRPr="00D11E02">
        <w:rPr>
          <w:rFonts w:ascii="Calibri" w:hAnsi="Calibri"/>
          <w:b/>
        </w:rPr>
        <w:t xml:space="preserve">Zamawiający dopuszcza zaproponowane rozwiązanie. Dodatkowo przypomina, iż akceptacja zaproponowanego modelu wyposażenia podlega akceptacji na etapie kart materiałowych. Procedura akceptacji zgodna z SIWZ. </w:t>
      </w:r>
    </w:p>
    <w:p w:rsidR="00AA0B74" w:rsidRPr="0042603A" w:rsidRDefault="00AA0B74" w:rsidP="00AA0B74">
      <w:pPr>
        <w:pStyle w:val="20"/>
        <w:shd w:val="clear" w:color="auto" w:fill="auto"/>
        <w:spacing w:line="276" w:lineRule="auto"/>
        <w:ind w:left="720"/>
        <w:jc w:val="both"/>
        <w:rPr>
          <w:rFonts w:ascii="Calibri" w:hAnsi="Calibri"/>
        </w:rPr>
      </w:pPr>
    </w:p>
    <w:p w:rsidR="0042603A" w:rsidRDefault="00481F0E" w:rsidP="00AA0B74">
      <w:pPr>
        <w:pStyle w:val="20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Calibri" w:hAnsi="Calibri"/>
        </w:rPr>
      </w:pPr>
      <w:r w:rsidRPr="0042603A">
        <w:rPr>
          <w:rFonts w:ascii="Calibri" w:hAnsi="Calibri"/>
        </w:rPr>
        <w:t xml:space="preserve">Prosimy o doprecyzowanie czy projektowana kamera </w:t>
      </w:r>
      <w:proofErr w:type="spellStart"/>
      <w:r w:rsidRPr="0042603A">
        <w:rPr>
          <w:rFonts w:ascii="Calibri" w:hAnsi="Calibri"/>
        </w:rPr>
        <w:t>kopułkowa</w:t>
      </w:r>
      <w:proofErr w:type="spellEnd"/>
      <w:r w:rsidRPr="0042603A">
        <w:rPr>
          <w:rFonts w:ascii="Calibri" w:hAnsi="Calibri"/>
        </w:rPr>
        <w:t xml:space="preserve"> widoku ogólnego Sali operacyjnej ma być w technologii </w:t>
      </w:r>
      <w:r w:rsidRPr="0042603A">
        <w:rPr>
          <w:rFonts w:ascii="Calibri" w:hAnsi="Calibri"/>
          <w:lang w:eastAsia="en-US" w:bidi="en-US"/>
        </w:rPr>
        <w:t xml:space="preserve">HD </w:t>
      </w:r>
      <w:r w:rsidRPr="0042603A">
        <w:rPr>
          <w:rFonts w:ascii="Calibri" w:hAnsi="Calibri"/>
        </w:rPr>
        <w:t>SDI czy HDMI</w:t>
      </w:r>
    </w:p>
    <w:p w:rsidR="00E40884" w:rsidRDefault="00E40884" w:rsidP="00E40884">
      <w:pPr>
        <w:pStyle w:val="20"/>
        <w:shd w:val="clear" w:color="auto" w:fill="auto"/>
        <w:spacing w:line="276" w:lineRule="auto"/>
        <w:ind w:left="720"/>
        <w:jc w:val="both"/>
        <w:rPr>
          <w:rFonts w:ascii="Calibri" w:hAnsi="Calibri"/>
        </w:rPr>
      </w:pPr>
    </w:p>
    <w:p w:rsidR="00E40884" w:rsidRPr="00E40884" w:rsidRDefault="00E40884" w:rsidP="00E40884">
      <w:pPr>
        <w:pStyle w:val="20"/>
        <w:shd w:val="clear" w:color="auto" w:fill="auto"/>
        <w:spacing w:line="276" w:lineRule="auto"/>
        <w:ind w:left="720"/>
        <w:jc w:val="both"/>
        <w:rPr>
          <w:rFonts w:ascii="Calibri" w:hAnsi="Calibri"/>
          <w:b/>
        </w:rPr>
      </w:pPr>
      <w:r w:rsidRPr="00E40884">
        <w:rPr>
          <w:rFonts w:ascii="Calibri" w:hAnsi="Calibri"/>
          <w:b/>
        </w:rPr>
        <w:t xml:space="preserve">Ad. 8 </w:t>
      </w:r>
    </w:p>
    <w:p w:rsidR="00E40884" w:rsidRPr="00E40884" w:rsidRDefault="00E368C1" w:rsidP="00E40884">
      <w:pPr>
        <w:pStyle w:val="20"/>
        <w:shd w:val="clear" w:color="auto" w:fill="auto"/>
        <w:spacing w:line="276" w:lineRule="auto"/>
        <w:ind w:left="720"/>
        <w:jc w:val="both"/>
        <w:rPr>
          <w:rFonts w:ascii="Calibri" w:hAnsi="Calibri"/>
          <w:b/>
        </w:rPr>
      </w:pPr>
      <w:r w:rsidRPr="00E40884">
        <w:rPr>
          <w:rFonts w:ascii="Calibri" w:hAnsi="Calibri"/>
          <w:b/>
        </w:rPr>
        <w:t>Ka</w:t>
      </w:r>
      <w:r>
        <w:rPr>
          <w:rFonts w:ascii="Calibri" w:hAnsi="Calibri"/>
          <w:b/>
        </w:rPr>
        <w:t xml:space="preserve">mera </w:t>
      </w:r>
      <w:r w:rsidRPr="00E40884">
        <w:rPr>
          <w:rFonts w:ascii="Calibri" w:hAnsi="Calibri"/>
          <w:b/>
        </w:rPr>
        <w:t>widoku</w:t>
      </w:r>
      <w:r w:rsidR="00E40884" w:rsidRPr="00E4088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ogólnego </w:t>
      </w:r>
      <w:r w:rsidR="00E40884" w:rsidRPr="00E40884">
        <w:rPr>
          <w:rFonts w:ascii="Calibri" w:hAnsi="Calibri"/>
          <w:b/>
        </w:rPr>
        <w:t>sali operacyjnej ma być w technologii HDMI.</w:t>
      </w:r>
    </w:p>
    <w:p w:rsidR="00AA0B74" w:rsidRDefault="00AA0B74" w:rsidP="00E40884">
      <w:pPr>
        <w:pStyle w:val="20"/>
        <w:shd w:val="clear" w:color="auto" w:fill="auto"/>
        <w:spacing w:line="276" w:lineRule="auto"/>
        <w:jc w:val="both"/>
        <w:rPr>
          <w:rFonts w:ascii="Calibri" w:hAnsi="Calibri"/>
        </w:rPr>
      </w:pPr>
    </w:p>
    <w:p w:rsidR="00AA0B74" w:rsidRPr="0042603A" w:rsidRDefault="00AA0B74" w:rsidP="00AA0B74">
      <w:pPr>
        <w:pStyle w:val="20"/>
        <w:shd w:val="clear" w:color="auto" w:fill="auto"/>
        <w:spacing w:line="276" w:lineRule="auto"/>
        <w:ind w:left="720"/>
        <w:jc w:val="both"/>
        <w:rPr>
          <w:rFonts w:ascii="Calibri" w:hAnsi="Calibri"/>
        </w:rPr>
      </w:pPr>
    </w:p>
    <w:p w:rsidR="0042603A" w:rsidRDefault="00481F0E" w:rsidP="00AA0B74">
      <w:pPr>
        <w:pStyle w:val="20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Calibri" w:hAnsi="Calibri"/>
        </w:rPr>
      </w:pPr>
      <w:r w:rsidRPr="0042603A">
        <w:rPr>
          <w:rFonts w:ascii="Calibri" w:hAnsi="Calibri"/>
        </w:rPr>
        <w:t>Czy Zamawiający dopuści monitory bez możliwości bezpośredniego podłączenia zestawu klawiatury i myszy w celu zarządzania komputerem PC</w:t>
      </w:r>
      <w:r w:rsidR="00E40884">
        <w:rPr>
          <w:rFonts w:ascii="Calibri" w:hAnsi="Calibri"/>
        </w:rPr>
        <w:t>,</w:t>
      </w:r>
      <w:r w:rsidRPr="0042603A">
        <w:rPr>
          <w:rFonts w:ascii="Calibri" w:hAnsi="Calibri"/>
        </w:rPr>
        <w:t xml:space="preserve"> którego to obraz wyświetlany jest na tym monitorze skoro sterowanie ma odbywać się z poziomu jednostki sterującej.</w:t>
      </w:r>
    </w:p>
    <w:p w:rsidR="0042603A" w:rsidRDefault="0042603A" w:rsidP="00AA0B74">
      <w:pPr>
        <w:pStyle w:val="Akapitzlist"/>
        <w:spacing w:line="276" w:lineRule="auto"/>
        <w:rPr>
          <w:rFonts w:ascii="Calibri" w:hAnsi="Calibri"/>
        </w:rPr>
      </w:pPr>
    </w:p>
    <w:p w:rsidR="00E40884" w:rsidRPr="00605474" w:rsidRDefault="00605474" w:rsidP="00AA0B74">
      <w:pPr>
        <w:pStyle w:val="Akapitzlist"/>
        <w:spacing w:line="276" w:lineRule="auto"/>
        <w:rPr>
          <w:rFonts w:ascii="Calibri" w:hAnsi="Calibri"/>
          <w:b/>
        </w:rPr>
      </w:pPr>
      <w:r w:rsidRPr="00605474">
        <w:rPr>
          <w:rFonts w:ascii="Calibri" w:hAnsi="Calibri"/>
          <w:b/>
        </w:rPr>
        <w:t xml:space="preserve">Ad. 9 </w:t>
      </w:r>
    </w:p>
    <w:p w:rsidR="00292773" w:rsidRPr="00D11E02" w:rsidRDefault="00292773" w:rsidP="00292773">
      <w:pPr>
        <w:pStyle w:val="20"/>
        <w:shd w:val="clear" w:color="auto" w:fill="auto"/>
        <w:spacing w:line="288" w:lineRule="exact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Tak. </w:t>
      </w:r>
      <w:r w:rsidRPr="00D11E02">
        <w:rPr>
          <w:rFonts w:ascii="Calibri" w:hAnsi="Calibri"/>
          <w:b/>
        </w:rPr>
        <w:t xml:space="preserve">Zamawiający dopuszcza zaproponowane rozwiązanie. Dodatkowo przypomina, iż akceptacja zaproponowanego modelu wyposażenia podlega akceptacji na etapie kart materiałowych. Procedura akceptacji zgodna z SIWZ. </w:t>
      </w:r>
    </w:p>
    <w:p w:rsidR="00605474" w:rsidRDefault="00605474" w:rsidP="00AA0B74">
      <w:pPr>
        <w:pStyle w:val="20"/>
        <w:shd w:val="clear" w:color="auto" w:fill="auto"/>
        <w:spacing w:line="276" w:lineRule="auto"/>
        <w:ind w:left="720"/>
        <w:jc w:val="both"/>
        <w:rPr>
          <w:rFonts w:ascii="Calibri" w:hAnsi="Calibri"/>
        </w:rPr>
      </w:pPr>
    </w:p>
    <w:p w:rsidR="00605474" w:rsidRPr="0042603A" w:rsidRDefault="00605474" w:rsidP="00AA0B74">
      <w:pPr>
        <w:pStyle w:val="20"/>
        <w:shd w:val="clear" w:color="auto" w:fill="auto"/>
        <w:spacing w:line="276" w:lineRule="auto"/>
        <w:ind w:left="720"/>
        <w:jc w:val="both"/>
        <w:rPr>
          <w:rFonts w:ascii="Calibri" w:hAnsi="Calibri"/>
        </w:rPr>
      </w:pPr>
    </w:p>
    <w:p w:rsidR="006074D7" w:rsidRDefault="00481F0E" w:rsidP="00AA0B74">
      <w:pPr>
        <w:pStyle w:val="20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Calibri" w:hAnsi="Calibri"/>
        </w:rPr>
      </w:pPr>
      <w:r w:rsidRPr="0042603A">
        <w:rPr>
          <w:rFonts w:ascii="Calibri" w:hAnsi="Calibri"/>
        </w:rPr>
        <w:t xml:space="preserve">Czy Zamawiający dopuści monitory będące montowane na salach operacyjnych na poziomie dopuszczalnej wilgotności w zakresie 4CH-60 jak przewiduje Rozporządzenie Ministra Zdrowia z dnia 10 listopada 2006 r. w sprawie wymagań, jakim powinny odpowiadać pod względem fachowym i sanitarnym pomieszczenia i urządzenia zakładu opieki zdrowotnej (Dz. U. z dnia 24 listopada 2006 r.) Na podstawie </w:t>
      </w:r>
      <w:r w:rsidRPr="0042603A">
        <w:rPr>
          <w:rFonts w:ascii="Calibri" w:hAnsi="Calibri"/>
          <w:lang w:eastAsia="en-US" w:bidi="en-US"/>
        </w:rPr>
        <w:t xml:space="preserve">art. </w:t>
      </w:r>
      <w:r w:rsidRPr="0042603A">
        <w:rPr>
          <w:rFonts w:ascii="Calibri" w:hAnsi="Calibri"/>
        </w:rPr>
        <w:t>9 ust. 2 ustawy z dnia 30 sierpnia 1991 r. o zakładach opieki zdrowotnej (Dz. U. Nr 91, poz. 408, z późniejszymi zmianami).</w:t>
      </w:r>
    </w:p>
    <w:p w:rsidR="007F4CFC" w:rsidRDefault="007F4CFC" w:rsidP="007F4CFC">
      <w:pPr>
        <w:pStyle w:val="20"/>
        <w:shd w:val="clear" w:color="auto" w:fill="auto"/>
        <w:spacing w:line="276" w:lineRule="auto"/>
        <w:jc w:val="both"/>
        <w:rPr>
          <w:rFonts w:ascii="Calibri" w:hAnsi="Calibri"/>
        </w:rPr>
      </w:pPr>
    </w:p>
    <w:p w:rsidR="00F77430" w:rsidRPr="00F77430" w:rsidRDefault="007F4CFC" w:rsidP="00F77430">
      <w:pPr>
        <w:pStyle w:val="20"/>
        <w:shd w:val="clear" w:color="auto" w:fill="auto"/>
        <w:spacing w:line="276" w:lineRule="auto"/>
        <w:ind w:left="709"/>
        <w:jc w:val="both"/>
        <w:rPr>
          <w:rFonts w:ascii="Calibri" w:hAnsi="Calibri"/>
          <w:b/>
        </w:rPr>
      </w:pPr>
      <w:r w:rsidRPr="00F77430">
        <w:rPr>
          <w:rFonts w:ascii="Calibri" w:hAnsi="Calibri"/>
          <w:b/>
        </w:rPr>
        <w:t>Ad. 10</w:t>
      </w:r>
    </w:p>
    <w:p w:rsidR="00F77430" w:rsidRPr="00D11E02" w:rsidRDefault="007F4CFC" w:rsidP="00F77430">
      <w:pPr>
        <w:pStyle w:val="20"/>
        <w:shd w:val="clear" w:color="auto" w:fill="auto"/>
        <w:spacing w:line="288" w:lineRule="exact"/>
        <w:ind w:left="720"/>
        <w:jc w:val="both"/>
        <w:rPr>
          <w:rFonts w:ascii="Calibri" w:hAnsi="Calibri"/>
          <w:b/>
        </w:rPr>
      </w:pPr>
      <w:r w:rsidRPr="00F77430">
        <w:rPr>
          <w:rFonts w:ascii="Calibri" w:hAnsi="Calibri"/>
          <w:b/>
        </w:rPr>
        <w:t xml:space="preserve">Zamawiający </w:t>
      </w:r>
      <w:r w:rsidR="005326C0" w:rsidRPr="00F77430">
        <w:rPr>
          <w:rFonts w:ascii="Calibri" w:hAnsi="Calibri"/>
          <w:b/>
        </w:rPr>
        <w:t xml:space="preserve">wymaga zgodności sprzętu z obowiązującym Rozporządzenia Ministra Zdrowia z dnia 26 czerwca 2012 r. </w:t>
      </w:r>
      <w:r w:rsidR="005326C0" w:rsidRPr="00F77430">
        <w:rPr>
          <w:rFonts w:ascii="Calibri" w:hAnsi="Calibri"/>
          <w:b/>
          <w:bCs/>
        </w:rPr>
        <w:t xml:space="preserve">w sprawie szczegółowych wymagań, jakim powinny odpowiadać pomieszczenia i urządzenia podmiotu wykonującego działalność </w:t>
      </w:r>
      <w:r w:rsidR="00F77430">
        <w:rPr>
          <w:rFonts w:ascii="Calibri" w:hAnsi="Calibri"/>
          <w:b/>
          <w:bCs/>
        </w:rPr>
        <w:t xml:space="preserve">leczniczą (Dz. U. 2012, </w:t>
      </w:r>
      <w:r w:rsidR="00F77430">
        <w:rPr>
          <w:rFonts w:ascii="Calibri" w:hAnsi="Calibri"/>
          <w:b/>
          <w:bCs/>
        </w:rPr>
        <w:lastRenderedPageBreak/>
        <w:t>poz.739</w:t>
      </w:r>
      <w:r w:rsidR="005326C0" w:rsidRPr="00F77430">
        <w:rPr>
          <w:rFonts w:ascii="Calibri" w:hAnsi="Calibri"/>
          <w:b/>
          <w:bCs/>
        </w:rPr>
        <w:t xml:space="preserve">). Na podstawie Ustawy </w:t>
      </w:r>
      <w:r w:rsidR="005326C0" w:rsidRPr="00F77430">
        <w:rPr>
          <w:rFonts w:ascii="Calibri" w:hAnsi="Calibri"/>
          <w:b/>
        </w:rPr>
        <w:t>z dnia 15 kwietnia 2011 r. o działalności leczniczej (</w:t>
      </w:r>
      <w:hyperlink r:id="rId7" w:history="1">
        <w:r w:rsidR="005326C0" w:rsidRPr="00F77430">
          <w:rPr>
            <w:rStyle w:val="Hipercze"/>
            <w:rFonts w:ascii="Calibri" w:hAnsi="Calibri"/>
            <w:b/>
            <w:color w:val="auto"/>
            <w:u w:val="none"/>
          </w:rPr>
          <w:t>Dz.U. 2011 nr 112 poz. 654</w:t>
        </w:r>
      </w:hyperlink>
      <w:r w:rsidR="005326C0" w:rsidRPr="00F77430">
        <w:rPr>
          <w:rFonts w:ascii="Calibri" w:hAnsi="Calibri"/>
          <w:b/>
          <w:color w:val="auto"/>
        </w:rPr>
        <w:t>, późniejszymi zmianami)</w:t>
      </w:r>
      <w:r w:rsidR="00F77430">
        <w:rPr>
          <w:rFonts w:ascii="Calibri" w:hAnsi="Calibri"/>
          <w:b/>
          <w:color w:val="auto"/>
        </w:rPr>
        <w:t xml:space="preserve">. </w:t>
      </w:r>
      <w:r w:rsidR="00F77430">
        <w:rPr>
          <w:rFonts w:ascii="Calibri" w:hAnsi="Calibri"/>
          <w:b/>
        </w:rPr>
        <w:t xml:space="preserve">Zamawiający </w:t>
      </w:r>
      <w:r w:rsidR="00F77430" w:rsidRPr="00D11E02">
        <w:rPr>
          <w:rFonts w:ascii="Calibri" w:hAnsi="Calibri"/>
          <w:b/>
        </w:rPr>
        <w:t xml:space="preserve">dodatkowo przypomina, iż akceptacja zaproponowanego modelu wyposażenia podlega akceptacji na etapie kart materiałowych. Procedura akceptacji zgodna z SIWZ. </w:t>
      </w:r>
    </w:p>
    <w:p w:rsidR="005326C0" w:rsidRPr="00F77430" w:rsidRDefault="005326C0" w:rsidP="00F77430">
      <w:pPr>
        <w:pStyle w:val="20"/>
        <w:shd w:val="clear" w:color="auto" w:fill="auto"/>
        <w:spacing w:line="276" w:lineRule="auto"/>
        <w:ind w:left="709"/>
        <w:jc w:val="both"/>
        <w:rPr>
          <w:rFonts w:ascii="Calibri" w:hAnsi="Calibri"/>
          <w:b/>
        </w:rPr>
        <w:sectPr w:rsidR="005326C0" w:rsidRPr="00F77430" w:rsidSect="0083619F">
          <w:type w:val="continuous"/>
          <w:pgSz w:w="11900" w:h="16840"/>
          <w:pgMar w:top="851" w:right="1268" w:bottom="1702" w:left="1134" w:header="0" w:footer="3" w:gutter="0"/>
          <w:cols w:space="720"/>
          <w:noEndnote/>
          <w:docGrid w:linePitch="360"/>
        </w:sectPr>
      </w:pPr>
    </w:p>
    <w:p w:rsidR="007F4CFC" w:rsidRDefault="007F4CFC" w:rsidP="00F77430">
      <w:pPr>
        <w:pStyle w:val="20"/>
        <w:shd w:val="clear" w:color="auto" w:fill="auto"/>
        <w:spacing w:line="276" w:lineRule="auto"/>
        <w:ind w:left="709"/>
        <w:jc w:val="both"/>
      </w:pPr>
    </w:p>
    <w:p w:rsidR="005326C0" w:rsidRDefault="005326C0" w:rsidP="007F4CFC">
      <w:pPr>
        <w:pStyle w:val="20"/>
        <w:shd w:val="clear" w:color="auto" w:fill="auto"/>
        <w:spacing w:line="276" w:lineRule="auto"/>
        <w:ind w:left="709"/>
        <w:jc w:val="both"/>
      </w:pPr>
    </w:p>
    <w:p w:rsidR="005326C0" w:rsidRPr="005326C0" w:rsidRDefault="005326C0" w:rsidP="007F4CFC">
      <w:pPr>
        <w:pStyle w:val="20"/>
        <w:shd w:val="clear" w:color="auto" w:fill="auto"/>
        <w:spacing w:line="276" w:lineRule="auto"/>
        <w:ind w:left="709"/>
        <w:jc w:val="both"/>
        <w:rPr>
          <w:color w:val="auto"/>
        </w:rPr>
      </w:pPr>
    </w:p>
    <w:p w:rsidR="005326C0" w:rsidRPr="0042603A" w:rsidRDefault="005326C0" w:rsidP="007F4CFC">
      <w:pPr>
        <w:pStyle w:val="20"/>
        <w:shd w:val="clear" w:color="auto" w:fill="auto"/>
        <w:spacing w:line="276" w:lineRule="auto"/>
        <w:ind w:left="709"/>
        <w:jc w:val="both"/>
        <w:rPr>
          <w:rFonts w:ascii="Calibri" w:hAnsi="Calibri"/>
        </w:rPr>
        <w:sectPr w:rsidR="005326C0" w:rsidRPr="0042603A" w:rsidSect="00AA0B74">
          <w:type w:val="continuous"/>
          <w:pgSz w:w="11900" w:h="16840"/>
          <w:pgMar w:top="993" w:right="684" w:bottom="401" w:left="1134" w:header="0" w:footer="3" w:gutter="0"/>
          <w:cols w:space="720"/>
          <w:noEndnote/>
          <w:docGrid w:linePitch="360"/>
        </w:sectPr>
      </w:pPr>
    </w:p>
    <w:p w:rsidR="006074D7" w:rsidRPr="0042603A" w:rsidRDefault="006074D7" w:rsidP="007F4CFC">
      <w:pPr>
        <w:ind w:left="709"/>
        <w:rPr>
          <w:rFonts w:ascii="Calibri" w:hAnsi="Calibri"/>
          <w:sz w:val="2"/>
          <w:szCs w:val="2"/>
        </w:rPr>
        <w:sectPr w:rsidR="006074D7" w:rsidRPr="0042603A" w:rsidSect="0042603A">
          <w:type w:val="continuous"/>
          <w:pgSz w:w="11900" w:h="16840"/>
          <w:pgMar w:top="181" w:right="0" w:bottom="413" w:left="1134" w:header="0" w:footer="3" w:gutter="0"/>
          <w:cols w:space="720"/>
          <w:noEndnote/>
          <w:docGrid w:linePitch="360"/>
        </w:sectPr>
      </w:pPr>
    </w:p>
    <w:p w:rsidR="006074D7" w:rsidRPr="0042603A" w:rsidRDefault="006074D7" w:rsidP="007F4CFC">
      <w:pPr>
        <w:spacing w:line="360" w:lineRule="exact"/>
        <w:ind w:left="709"/>
        <w:rPr>
          <w:rFonts w:ascii="Calibri" w:hAnsi="Calibri"/>
        </w:rPr>
      </w:pPr>
    </w:p>
    <w:p w:rsidR="006074D7" w:rsidRPr="0042603A" w:rsidRDefault="006074D7" w:rsidP="0042603A">
      <w:pPr>
        <w:rPr>
          <w:rFonts w:ascii="Calibri" w:hAnsi="Calibri"/>
          <w:sz w:val="2"/>
          <w:szCs w:val="2"/>
        </w:rPr>
        <w:sectPr w:rsidR="006074D7" w:rsidRPr="0042603A" w:rsidSect="0042603A">
          <w:type w:val="continuous"/>
          <w:pgSz w:w="11900" w:h="16840"/>
          <w:pgMar w:top="1822" w:right="0" w:bottom="434" w:left="1134" w:header="0" w:footer="3" w:gutter="0"/>
          <w:cols w:space="720"/>
          <w:noEndnote/>
          <w:docGrid w:linePitch="360"/>
        </w:sectPr>
      </w:pPr>
    </w:p>
    <w:p w:rsidR="006074D7" w:rsidRPr="0042603A" w:rsidRDefault="0011665C" w:rsidP="0042603A">
      <w:pPr>
        <w:rPr>
          <w:rFonts w:ascii="Calibri" w:hAnsi="Calibri"/>
          <w:sz w:val="2"/>
          <w:szCs w:val="2"/>
        </w:rPr>
      </w:pPr>
      <w:r w:rsidRPr="0011665C">
        <w:rPr>
          <w:rFonts w:ascii="Calibri" w:hAnsi="Calibri"/>
        </w:rPr>
        <w:lastRenderedPageBreak/>
        <w:pict>
          <v:shape id="_x0000_s1037" type="#_x0000_t202" style="position:absolute;margin-left:249.9pt;margin-top:12.7pt;width:35.1pt;height:18.75pt;z-index:-251654656;mso-wrap-distance-left:5pt;mso-wrap-distance-right:5pt;mso-position-horizontal-relative:margin" filled="f" stroked="f">
            <v:textbox style="mso-fit-shape-to-text:t" inset="0,0,0,0">
              <w:txbxContent>
                <w:p w:rsidR="005326C0" w:rsidRDefault="005326C0">
                  <w:pPr>
                    <w:pStyle w:val="a"/>
                    <w:shd w:val="clear" w:color="auto" w:fill="auto"/>
                  </w:pPr>
                </w:p>
              </w:txbxContent>
            </v:textbox>
            <w10:wrap type="square" anchorx="margin"/>
          </v:shape>
        </w:pict>
      </w:r>
    </w:p>
    <w:sectPr w:rsidR="006074D7" w:rsidRPr="0042603A" w:rsidSect="0042603A">
      <w:type w:val="continuous"/>
      <w:pgSz w:w="11900" w:h="16840"/>
      <w:pgMar w:top="1822" w:right="732" w:bottom="434" w:left="1134" w:header="0" w:footer="3" w:gutter="0"/>
      <w:cols w:num="2" w:space="720" w:equalWidth="0">
        <w:col w:w="3971" w:space="1919"/>
        <w:col w:w="4507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90" w:rsidRDefault="00A12F90" w:rsidP="006074D7">
      <w:r>
        <w:separator/>
      </w:r>
    </w:p>
  </w:endnote>
  <w:endnote w:type="continuationSeparator" w:id="0">
    <w:p w:rsidR="00A12F90" w:rsidRDefault="00A12F90" w:rsidP="0060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90" w:rsidRDefault="00A12F90"/>
  </w:footnote>
  <w:footnote w:type="continuationSeparator" w:id="0">
    <w:p w:rsidR="00A12F90" w:rsidRDefault="00A12F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A465E"/>
    <w:multiLevelType w:val="hybridMultilevel"/>
    <w:tmpl w:val="366C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074D7"/>
    <w:rsid w:val="00036DA6"/>
    <w:rsid w:val="0011665C"/>
    <w:rsid w:val="00141E5D"/>
    <w:rsid w:val="001F054E"/>
    <w:rsid w:val="00292773"/>
    <w:rsid w:val="003D3D74"/>
    <w:rsid w:val="003D7CA6"/>
    <w:rsid w:val="0042603A"/>
    <w:rsid w:val="00481F0E"/>
    <w:rsid w:val="004A4FB3"/>
    <w:rsid w:val="005326C0"/>
    <w:rsid w:val="005D1F80"/>
    <w:rsid w:val="00605474"/>
    <w:rsid w:val="006074D7"/>
    <w:rsid w:val="00637442"/>
    <w:rsid w:val="0075451F"/>
    <w:rsid w:val="007F4CFC"/>
    <w:rsid w:val="0083619F"/>
    <w:rsid w:val="008F086C"/>
    <w:rsid w:val="00914727"/>
    <w:rsid w:val="009A5EFA"/>
    <w:rsid w:val="009D52ED"/>
    <w:rsid w:val="00A12F90"/>
    <w:rsid w:val="00AA0041"/>
    <w:rsid w:val="00AA0B74"/>
    <w:rsid w:val="00B25E90"/>
    <w:rsid w:val="00B6429B"/>
    <w:rsid w:val="00CC7174"/>
    <w:rsid w:val="00D11E02"/>
    <w:rsid w:val="00D263C8"/>
    <w:rsid w:val="00DE6252"/>
    <w:rsid w:val="00E368C1"/>
    <w:rsid w:val="00E40884"/>
    <w:rsid w:val="00E44BF7"/>
    <w:rsid w:val="00F7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gLiU_HKSCS" w:eastAsia="MingLiU_HKSCS" w:hAnsi="MingLiU_HKSCS" w:cs="MingLiU_HKSC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74D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074D7"/>
    <w:rPr>
      <w:color w:val="000080"/>
      <w:u w:val="single"/>
    </w:rPr>
  </w:style>
  <w:style w:type="character" w:customStyle="1" w:styleId="4Exact">
    <w:name w:val="正文文本 (4) Exact"/>
    <w:basedOn w:val="Domylnaczcionkaakapitu"/>
    <w:link w:val="4"/>
    <w:rsid w:val="006074D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">
    <w:name w:val="标题 #1_"/>
    <w:basedOn w:val="Domylnaczcionkaakapitu"/>
    <w:link w:val="10"/>
    <w:rsid w:val="006074D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62"/>
      <w:szCs w:val="62"/>
      <w:u w:val="none"/>
    </w:rPr>
  </w:style>
  <w:style w:type="character" w:customStyle="1" w:styleId="11">
    <w:name w:val="标题 #1"/>
    <w:basedOn w:val="1"/>
    <w:rsid w:val="006074D7"/>
    <w:rPr>
      <w:color w:val="000000"/>
      <w:w w:val="100"/>
      <w:position w:val="0"/>
      <w:u w:val="single"/>
      <w:lang w:val="pl-PL" w:eastAsia="pl-PL" w:bidi="pl-PL"/>
    </w:rPr>
  </w:style>
  <w:style w:type="character" w:customStyle="1" w:styleId="3">
    <w:name w:val="正文文本 (3)_"/>
    <w:basedOn w:val="Domylnaczcionkaakapitu"/>
    <w:link w:val="30"/>
    <w:rsid w:val="006074D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1">
    <w:name w:val="正文文本 (3) + 非粗体"/>
    <w:basedOn w:val="3"/>
    <w:rsid w:val="006074D7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2Exact">
    <w:name w:val="正文文本 (2) Exact"/>
    <w:basedOn w:val="Domylnaczcionkaakapitu"/>
    <w:rsid w:val="006074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标题 #1 Exact"/>
    <w:basedOn w:val="Domylnaczcionkaakapitu"/>
    <w:rsid w:val="006074D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62"/>
      <w:szCs w:val="62"/>
      <w:u w:val="none"/>
      <w:lang w:val="en-US" w:eastAsia="en-US" w:bidi="en-US"/>
    </w:rPr>
  </w:style>
  <w:style w:type="character" w:customStyle="1" w:styleId="1Exact0">
    <w:name w:val="标题 #1 Exact"/>
    <w:basedOn w:val="1"/>
    <w:rsid w:val="006074D7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3Exact">
    <w:name w:val="正文文本 (3) Exact"/>
    <w:basedOn w:val="Domylnaczcionkaakapitu"/>
    <w:rsid w:val="006074D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7Exact">
    <w:name w:val="正文文本 (7) Exact"/>
    <w:basedOn w:val="Domylnaczcionkaakapitu"/>
    <w:link w:val="7"/>
    <w:rsid w:val="006074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">
    <w:name w:val="正文文本 (5)_"/>
    <w:basedOn w:val="Domylnaczcionkaakapitu"/>
    <w:link w:val="50"/>
    <w:rsid w:val="006074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正文文本 (2)_"/>
    <w:basedOn w:val="Domylnaczcionkaakapitu"/>
    <w:link w:val="20"/>
    <w:rsid w:val="006074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正文文本 (2) + 粗体"/>
    <w:basedOn w:val="2"/>
    <w:rsid w:val="006074D7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6">
    <w:name w:val="正文文本 (6)_"/>
    <w:basedOn w:val="Domylnaczcionkaakapitu"/>
    <w:link w:val="60"/>
    <w:rsid w:val="006074D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MicrosoftYaHei16pt">
    <w:name w:val="正文文本 (6) + Microsoft YaHei;16 pt;粗体"/>
    <w:basedOn w:val="6"/>
    <w:rsid w:val="006074D7"/>
    <w:rPr>
      <w:rFonts w:ascii="Microsoft YaHei" w:eastAsia="Microsoft YaHei" w:hAnsi="Microsoft YaHei" w:cs="Microsoft YaHei"/>
      <w:b/>
      <w:bCs/>
      <w:color w:val="000000"/>
      <w:spacing w:val="0"/>
      <w:w w:val="100"/>
      <w:position w:val="0"/>
      <w:sz w:val="32"/>
      <w:szCs w:val="32"/>
      <w:lang w:val="pl-PL" w:eastAsia="pl-PL" w:bidi="pl-PL"/>
    </w:rPr>
  </w:style>
  <w:style w:type="character" w:customStyle="1" w:styleId="66pt">
    <w:name w:val="正文文本 (6) + 6 pt;粗体;小型大写"/>
    <w:basedOn w:val="6"/>
    <w:rsid w:val="006074D7"/>
    <w:rPr>
      <w:b/>
      <w:bCs/>
      <w:smallCaps/>
      <w:color w:val="000000"/>
      <w:spacing w:val="0"/>
      <w:w w:val="100"/>
      <w:position w:val="0"/>
      <w:sz w:val="12"/>
      <w:szCs w:val="12"/>
      <w:lang w:val="pl-PL" w:eastAsia="pl-PL" w:bidi="pl-PL"/>
    </w:rPr>
  </w:style>
  <w:style w:type="character" w:customStyle="1" w:styleId="613pt-1pt">
    <w:name w:val="正文文本 (6) + 13 pt;间距 -1 pt"/>
    <w:basedOn w:val="6"/>
    <w:rsid w:val="006074D7"/>
    <w:rPr>
      <w:color w:val="000000"/>
      <w:spacing w:val="-20"/>
      <w:w w:val="100"/>
      <w:position w:val="0"/>
      <w:sz w:val="26"/>
      <w:szCs w:val="26"/>
      <w:lang w:val="pl-PL" w:eastAsia="pl-PL" w:bidi="pl-PL"/>
    </w:rPr>
  </w:style>
  <w:style w:type="character" w:customStyle="1" w:styleId="Exact">
    <w:name w:val="图片标题 Exact"/>
    <w:basedOn w:val="Domylnaczcionkaakapitu"/>
    <w:link w:val="a"/>
    <w:rsid w:val="006074D7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4">
    <w:name w:val="正文文本 (4)"/>
    <w:basedOn w:val="Normalny"/>
    <w:link w:val="4Exact"/>
    <w:rsid w:val="006074D7"/>
    <w:pPr>
      <w:shd w:val="clear" w:color="auto" w:fill="FFFFFF"/>
      <w:spacing w:line="245" w:lineRule="exact"/>
    </w:pPr>
    <w:rPr>
      <w:rFonts w:ascii="Calibri" w:eastAsia="Calibri" w:hAnsi="Calibri" w:cs="Calibri"/>
      <w:sz w:val="19"/>
      <w:szCs w:val="19"/>
      <w:lang w:val="en-US" w:eastAsia="en-US" w:bidi="en-US"/>
    </w:rPr>
  </w:style>
  <w:style w:type="paragraph" w:customStyle="1" w:styleId="10">
    <w:name w:val="标题 #1"/>
    <w:basedOn w:val="Normalny"/>
    <w:link w:val="1"/>
    <w:rsid w:val="006074D7"/>
    <w:pPr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  <w:sz w:val="62"/>
      <w:szCs w:val="62"/>
    </w:rPr>
  </w:style>
  <w:style w:type="paragraph" w:customStyle="1" w:styleId="30">
    <w:name w:val="正文文本 (3)"/>
    <w:basedOn w:val="Normalny"/>
    <w:link w:val="3"/>
    <w:rsid w:val="006074D7"/>
    <w:pPr>
      <w:shd w:val="clear" w:color="auto" w:fill="FFFFFF"/>
      <w:spacing w:before="300" w:line="292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0">
    <w:name w:val="正文文本 (2)"/>
    <w:basedOn w:val="Normalny"/>
    <w:link w:val="2"/>
    <w:rsid w:val="006074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正文文本 (7)"/>
    <w:basedOn w:val="Normalny"/>
    <w:link w:val="7Exact"/>
    <w:rsid w:val="006074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正文文本 (5)"/>
    <w:basedOn w:val="Normalny"/>
    <w:link w:val="5"/>
    <w:rsid w:val="006074D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正文文本 (6)"/>
    <w:basedOn w:val="Normalny"/>
    <w:link w:val="6"/>
    <w:rsid w:val="006074D7"/>
    <w:pPr>
      <w:shd w:val="clear" w:color="auto" w:fill="FFFFFF"/>
      <w:spacing w:before="960" w:line="194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a">
    <w:name w:val="图片标题"/>
    <w:basedOn w:val="Normalny"/>
    <w:link w:val="Exact"/>
    <w:rsid w:val="006074D7"/>
    <w:pPr>
      <w:shd w:val="clear" w:color="auto" w:fill="FFFFFF"/>
      <w:spacing w:line="158" w:lineRule="exact"/>
      <w:jc w:val="both"/>
    </w:pPr>
    <w:rPr>
      <w:rFonts w:ascii="Calibri" w:eastAsia="Calibri" w:hAnsi="Calibri" w:cs="Calibri"/>
      <w:b/>
      <w:bCs/>
      <w:sz w:val="12"/>
      <w:szCs w:val="12"/>
    </w:rPr>
  </w:style>
  <w:style w:type="paragraph" w:styleId="Akapitzlist">
    <w:name w:val="List Paragraph"/>
    <w:basedOn w:val="Normalny"/>
    <w:uiPriority w:val="34"/>
    <w:qFormat/>
    <w:rsid w:val="00426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11120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</cp:lastModifiedBy>
  <cp:revision>2</cp:revision>
  <dcterms:created xsi:type="dcterms:W3CDTF">2018-01-16T06:34:00Z</dcterms:created>
  <dcterms:modified xsi:type="dcterms:W3CDTF">2018-01-16T06:34:00Z</dcterms:modified>
</cp:coreProperties>
</file>