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bookmarkStart w:id="0" w:name="_GoBack"/>
      <w:bookmarkEnd w:id="0"/>
      <w:r w:rsidRPr="007B2CBE">
        <w:rPr>
          <w:rFonts w:ascii="Tahoma" w:eastAsia="Times New Roman" w:hAnsi="Tahoma" w:cs="Tahoma"/>
          <w:sz w:val="18"/>
          <w:szCs w:val="18"/>
          <w:lang w:eastAsia="pl-PL"/>
        </w:rPr>
        <w:t>Czy Zamawiający wyrazi zgodę na prawo wykonawcy do wstrzymania robót w przypadku 15 dniowego opóźnienia w płatności należnego wynagrodzenia oraz odstąpienie w przypadku upływu kolejnych 14 dni?</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1</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Zamawiający nie wyraża zgody.</w:t>
      </w:r>
    </w:p>
    <w:p w:rsidR="008C28DC" w:rsidRPr="006F21CB"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kar umownych : Czy Zamawiający zrezygnuje z par 27.5 ponieważ tytuł naliczenia kar jest ten sam który w par 24.23 ? Prosimy również o doprecyzowanie terminu wezwania wykonawcy proponujemy zapis „po uprzednim wezwaniu Wykonawcy i wyznaczeniu dodatkowego terminu nie krótszego niż 14 dni roboczych”</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2</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Zgodnie z SIWZ</w:t>
      </w:r>
    </w:p>
    <w:p w:rsidR="008C28DC" w:rsidRPr="009D633D" w:rsidRDefault="008C28DC" w:rsidP="008C28DC">
      <w:pPr>
        <w:pStyle w:val="Akapitzlist"/>
        <w:spacing w:line="360" w:lineRule="auto"/>
        <w:rPr>
          <w:rFonts w:ascii="Tahoma" w:eastAsia="Times New Roman" w:hAnsi="Tahoma" w:cs="Tahoma"/>
          <w:b/>
          <w:sz w:val="18"/>
          <w:szCs w:val="18"/>
          <w:lang w:eastAsia="pl-PL"/>
        </w:rPr>
      </w:pPr>
    </w:p>
    <w:p w:rsidR="008C28DC" w:rsidRPr="0019134A" w:rsidRDefault="008C28DC" w:rsidP="008C28DC">
      <w:pPr>
        <w:pStyle w:val="Akapitzlist"/>
        <w:numPr>
          <w:ilvl w:val="0"/>
          <w:numId w:val="1"/>
        </w:numPr>
        <w:spacing w:line="360" w:lineRule="auto"/>
        <w:rPr>
          <w:rFonts w:ascii="Tahoma" w:eastAsia="Times New Roman" w:hAnsi="Tahoma" w:cs="Tahoma"/>
          <w:sz w:val="18"/>
          <w:szCs w:val="18"/>
          <w:highlight w:val="yellow"/>
          <w:lang w:eastAsia="pl-PL"/>
        </w:rPr>
      </w:pPr>
      <w:r w:rsidRPr="0019134A">
        <w:rPr>
          <w:rFonts w:ascii="Tahoma" w:eastAsia="Times New Roman" w:hAnsi="Tahoma" w:cs="Tahoma"/>
          <w:sz w:val="18"/>
          <w:szCs w:val="18"/>
          <w:highlight w:val="yellow"/>
          <w:lang w:eastAsia="pl-PL"/>
        </w:rPr>
        <w:t>Dotyczy kar umownych : Czy Zamawiający poprawi numeracje w par 33?</w:t>
      </w:r>
    </w:p>
    <w:p w:rsidR="008C28DC" w:rsidRPr="0019134A" w:rsidRDefault="008C28DC" w:rsidP="008C28DC">
      <w:pPr>
        <w:pStyle w:val="Akapitzlist"/>
        <w:spacing w:line="360" w:lineRule="auto"/>
        <w:rPr>
          <w:rFonts w:ascii="Tahoma" w:eastAsia="Times New Roman" w:hAnsi="Tahoma" w:cs="Tahoma"/>
          <w:b/>
          <w:sz w:val="18"/>
          <w:szCs w:val="18"/>
          <w:highlight w:val="yellow"/>
          <w:lang w:eastAsia="pl-PL"/>
        </w:rPr>
      </w:pPr>
      <w:r w:rsidRPr="0019134A">
        <w:rPr>
          <w:rFonts w:ascii="Tahoma" w:eastAsia="Times New Roman" w:hAnsi="Tahoma" w:cs="Tahoma"/>
          <w:b/>
          <w:sz w:val="18"/>
          <w:szCs w:val="18"/>
          <w:highlight w:val="yellow"/>
          <w:lang w:eastAsia="pl-PL"/>
        </w:rPr>
        <w:t>Ad. 3</w:t>
      </w:r>
    </w:p>
    <w:p w:rsidR="008C28DC" w:rsidRPr="009D633D" w:rsidRDefault="008C28DC" w:rsidP="008C28DC">
      <w:pPr>
        <w:pStyle w:val="Akapitzlist"/>
        <w:spacing w:line="360" w:lineRule="auto"/>
        <w:rPr>
          <w:rFonts w:ascii="Tahoma" w:eastAsia="Times New Roman" w:hAnsi="Tahoma" w:cs="Tahoma"/>
          <w:b/>
          <w:sz w:val="18"/>
          <w:szCs w:val="18"/>
          <w:lang w:eastAsia="pl-PL"/>
        </w:rPr>
      </w:pPr>
      <w:r w:rsidRPr="0019134A">
        <w:rPr>
          <w:rFonts w:ascii="Tahoma" w:eastAsia="Times New Roman" w:hAnsi="Tahoma" w:cs="Tahoma"/>
          <w:b/>
          <w:sz w:val="18"/>
          <w:szCs w:val="18"/>
          <w:highlight w:val="yellow"/>
          <w:lang w:eastAsia="pl-PL"/>
        </w:rPr>
        <w:t>Tak Zamawiający dokonał korekty numeracji pkt. 33.1.</w:t>
      </w: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kar umownych : Czy Zamawiający urealni wysokość kar do poziomu rynkowego tj. 0,05-0,1% w par 33.1.9 oraz 33.1.10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4</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w:t>
      </w:r>
    </w:p>
    <w:p w:rsidR="008C28DC" w:rsidRPr="00BA1121"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kar umownych : Czy Zamawiający wprowadzi limit kar do 10-20% wartości umowy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5</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w:t>
      </w:r>
    </w:p>
    <w:p w:rsidR="008C28DC" w:rsidRPr="00BA1121"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2.7 Umowy : Czy Zamawiający wyrazi zgodę na obniżenie progu ponoszenia nieprzewidzianych kosztów przez wykonawcę z 10% do np. do 2% dzięki temu oferty wykonawców będą bardziej konkurencyjne?</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6</w:t>
      </w:r>
    </w:p>
    <w:p w:rsidR="008C28DC" w:rsidRPr="000B77F7" w:rsidRDefault="008C28DC" w:rsidP="008C28DC">
      <w:pPr>
        <w:pStyle w:val="Akapitzlist"/>
        <w:spacing w:line="360" w:lineRule="auto"/>
        <w:rPr>
          <w:rFonts w:ascii="Tahoma" w:eastAsia="Times New Roman" w:hAnsi="Tahoma" w:cs="Tahoma"/>
          <w:b/>
          <w:sz w:val="18"/>
          <w:szCs w:val="18"/>
          <w:lang w:eastAsia="pl-PL"/>
        </w:rPr>
      </w:pPr>
      <w:r>
        <w:rPr>
          <w:rFonts w:cs="Courier New"/>
          <w:b/>
        </w:rPr>
        <w:t>Zamawiający dokonał zmiany pkt. 2.7, po zmianie: ”</w:t>
      </w:r>
      <w:r w:rsidRPr="000B77F7">
        <w:rPr>
          <w:rFonts w:cs="Courier New"/>
          <w:b/>
        </w:rPr>
        <w:t xml:space="preserve">Dodatkowe roboty budowlane, nieobjęte zamówieniem podstawowym (w szczególności nie ujęte w projekcie budowlanym i Opisie Przedmiotu </w:t>
      </w:r>
      <w:r w:rsidRPr="000B77F7">
        <w:rPr>
          <w:b/>
          <w:lang w:eastAsia="ar-SA"/>
        </w:rPr>
        <w:t xml:space="preserve"> </w:t>
      </w:r>
      <w:r w:rsidRPr="000B77F7">
        <w:rPr>
          <w:rFonts w:cs="Courier New"/>
          <w:b/>
        </w:rPr>
        <w:t>Zamówienia) mogą być objęte aneksem o ile stały się niezbędne i zostały spełnione łącznie warunki przewidziane w art. 144 ust.2 ustawy PZP. Podpisanie aneksu wymaga sporządzenie protokołu konieczności i zaakceptowania protokołu konieczności przez Zamawiającego.</w:t>
      </w:r>
      <w:r>
        <w:rPr>
          <w:rFonts w:cs="Courier New"/>
          <w:b/>
        </w:rPr>
        <w:t>”</w:t>
      </w: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lastRenderedPageBreak/>
        <w:t>Dotyczy par. 4.3 oraz par 24.8 Umowy : Czy Zamawiający doprecyzuje termin zakończenia odbioru częściowego, proponujemy 5 dni roboczych od jego rozpoczęcia?</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Ad. 7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w:t>
      </w:r>
    </w:p>
    <w:p w:rsidR="008C28DC" w:rsidRPr="00BA1121"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4.6 oraz par 24.15 Umowy: Czy Zamawiający doprecyzuje termin zakończenia odbioru końcowego  proponujemy 10 dni roboczych od jego rozpoczęcia?</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8</w:t>
      </w:r>
    </w:p>
    <w:p w:rsidR="008C28DC" w:rsidRPr="007B2CBE" w:rsidRDefault="008C28DC" w:rsidP="008C28DC">
      <w:pPr>
        <w:pStyle w:val="Akapitzlist"/>
        <w:spacing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Zgodnie z SIWZ</w:t>
      </w: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10.4.c) oraz par 10.8.g) Umowy zakaz tworzenia zabezpieczenia przez potrącenie faktur podwykonawcy : czy zamawiający zrezygnuje z tego zapisu ponieważ podwykonawcy mogą nie mieć wystarczającej zdolności kredytowej i nie są w stanie uzyskać gwarancji bankowych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9</w:t>
      </w:r>
    </w:p>
    <w:p w:rsidR="008C28DC" w:rsidRPr="00BA1121"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w:t>
      </w: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10.7 Umowy: Czy Zamawiający w celu sprawniejszej realizacji umowy skróci termin wyrażenia zastrzeżeń wobec zgłoszonych podwykonawców z 30 do 14 dni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Ad. 10 </w:t>
      </w:r>
    </w:p>
    <w:p w:rsidR="008C28DC" w:rsidRPr="00D379B1"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 pkt. 10.11 i 10.12 Umowy.</w:t>
      </w:r>
    </w:p>
    <w:p w:rsidR="008C28DC" w:rsidRPr="00BA1121"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13.10 Umowy: Czy Zamawiający zrezygnuje z prawa do zmian w harmonogramie w szczególności zmiany płatności ponieważ ma uprawnienie do naliczenie kar za opóźnienia w realizacji oraz uaktualnienia harmonogramu par 13.17 ?</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11</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Zgodnie z SIWZ</w:t>
      </w:r>
    </w:p>
    <w:p w:rsidR="008C28DC" w:rsidRPr="00CC4FE0" w:rsidRDefault="008C28DC" w:rsidP="008C28DC">
      <w:pPr>
        <w:pStyle w:val="Akapitzlist"/>
        <w:spacing w:line="360" w:lineRule="auto"/>
        <w:rPr>
          <w:rFonts w:ascii="Tahoma" w:eastAsia="Times New Roman" w:hAnsi="Tahoma" w:cs="Tahoma"/>
          <w:b/>
          <w:sz w:val="18"/>
          <w:szCs w:val="18"/>
          <w:lang w:eastAsia="pl-PL"/>
        </w:rPr>
      </w:pPr>
    </w:p>
    <w:p w:rsidR="008C28DC" w:rsidRDefault="008C28DC" w:rsidP="008C28DC">
      <w:pPr>
        <w:pStyle w:val="Akapitzlist"/>
        <w:numPr>
          <w:ilvl w:val="0"/>
          <w:numId w:val="1"/>
        </w:numPr>
        <w:spacing w:line="360" w:lineRule="auto"/>
        <w:rPr>
          <w:rFonts w:ascii="Tahoma" w:eastAsia="Times New Roman" w:hAnsi="Tahoma" w:cs="Tahoma"/>
          <w:sz w:val="18"/>
          <w:szCs w:val="18"/>
          <w:lang w:eastAsia="pl-PL"/>
        </w:rPr>
      </w:pPr>
      <w:r w:rsidRPr="007B2CBE">
        <w:rPr>
          <w:rFonts w:ascii="Tahoma" w:eastAsia="Times New Roman" w:hAnsi="Tahoma" w:cs="Tahoma"/>
          <w:sz w:val="18"/>
          <w:szCs w:val="18"/>
          <w:lang w:eastAsia="pl-PL"/>
        </w:rPr>
        <w:t>Dotyczy par 25.1.11 Umowy : Czy zamawiający chce samodzielnie dokonywać płatności na rzecz podwykonawców? Zwracamy uwagę że utrudni to wykonawcy kontrolowanie terminowości  i jakości wykonywanych robót podwykonawczych proponujemy dokonywanie całej płatności na rzecz wykonawcy pod warunkiem doręczenia dowodów zapłaty wymagalnego wynagrodzenia podwykonawczego pod rygorem wstrzymania części wynagrodzenia niepotwierdzonej odpowiednimi dowodami tak jak zapisał to w par 25.4.2-25.4.7</w:t>
      </w:r>
    </w:p>
    <w:p w:rsidR="008C28DC"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Ad. 12</w:t>
      </w:r>
    </w:p>
    <w:p w:rsidR="008C28DC" w:rsidRPr="00CC4FE0" w:rsidRDefault="008C28DC" w:rsidP="008C28DC">
      <w:pPr>
        <w:pStyle w:val="Akapitzlist"/>
        <w:spacing w:line="36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Zgodnie z SIWZ dot. to jedynie należności które nie zostały uregulowane w terminie zgodnie z pkt. 25.4.2 i 25.4.3 </w:t>
      </w:r>
    </w:p>
    <w:p w:rsidR="008C28DC" w:rsidRDefault="008C28DC" w:rsidP="008C28DC">
      <w:pPr>
        <w:pStyle w:val="Style9"/>
        <w:numPr>
          <w:ilvl w:val="0"/>
          <w:numId w:val="1"/>
        </w:numPr>
        <w:spacing w:line="360" w:lineRule="auto"/>
        <w:ind w:left="714" w:hanging="357"/>
        <w:rPr>
          <w:rStyle w:val="FontStyle29"/>
          <w:rFonts w:ascii="Tahoma" w:hAnsi="Tahoma" w:cs="Tahoma"/>
          <w:sz w:val="18"/>
          <w:szCs w:val="18"/>
        </w:rPr>
      </w:pPr>
      <w:r w:rsidRPr="007B2CBE">
        <w:rPr>
          <w:rStyle w:val="FontStyle29"/>
          <w:rFonts w:ascii="Tahoma" w:hAnsi="Tahoma" w:cs="Tahoma"/>
          <w:sz w:val="18"/>
          <w:szCs w:val="18"/>
        </w:rPr>
        <w:t>W związku z</w:t>
      </w:r>
      <w:r>
        <w:rPr>
          <w:rStyle w:val="FontStyle29"/>
          <w:rFonts w:ascii="Tahoma" w:hAnsi="Tahoma" w:cs="Tahoma"/>
          <w:sz w:val="18"/>
          <w:szCs w:val="18"/>
        </w:rPr>
        <w:t>e wskazaniem jako zamawiającego spółki</w:t>
      </w:r>
      <w:r w:rsidRPr="007B2CBE">
        <w:rPr>
          <w:rStyle w:val="FontStyle29"/>
          <w:rFonts w:ascii="Tahoma" w:hAnsi="Tahoma" w:cs="Tahoma"/>
          <w:sz w:val="18"/>
          <w:szCs w:val="18"/>
        </w:rPr>
        <w:t xml:space="preserve"> </w:t>
      </w:r>
      <w:proofErr w:type="spellStart"/>
      <w:r w:rsidRPr="007B2CBE">
        <w:rPr>
          <w:rStyle w:val="FontStyle29"/>
          <w:rFonts w:ascii="Tahoma" w:hAnsi="Tahoma" w:cs="Tahoma"/>
          <w:sz w:val="18"/>
          <w:szCs w:val="18"/>
        </w:rPr>
        <w:t>Copernicus</w:t>
      </w:r>
      <w:proofErr w:type="spellEnd"/>
      <w:r w:rsidRPr="007B2CBE">
        <w:rPr>
          <w:rStyle w:val="FontStyle29"/>
          <w:rFonts w:ascii="Tahoma" w:hAnsi="Tahoma" w:cs="Tahoma"/>
          <w:sz w:val="18"/>
          <w:szCs w:val="18"/>
        </w:rPr>
        <w:t xml:space="preserve"> Podmiot Leczniczy Sp. z o.o. prosimy o stosowne sprostowanie zapisu: „Województwa Pomorskiego” w pkt.</w:t>
      </w:r>
      <w:r>
        <w:rPr>
          <w:rStyle w:val="FontStyle29"/>
          <w:rFonts w:ascii="Tahoma" w:hAnsi="Tahoma" w:cs="Tahoma"/>
          <w:sz w:val="18"/>
          <w:szCs w:val="18"/>
        </w:rPr>
        <w:t xml:space="preserve"> 12, 13, 14 rozdziału VIII SIWZ. </w:t>
      </w:r>
    </w:p>
    <w:p w:rsidR="008C28DC" w:rsidRDefault="008C28DC" w:rsidP="008C28DC">
      <w:pPr>
        <w:pStyle w:val="Style9"/>
        <w:spacing w:line="360" w:lineRule="auto"/>
        <w:ind w:left="714"/>
        <w:rPr>
          <w:rStyle w:val="FontStyle29"/>
          <w:rFonts w:ascii="Tahoma" w:hAnsi="Tahoma" w:cs="Tahoma"/>
          <w:sz w:val="18"/>
          <w:szCs w:val="18"/>
        </w:rPr>
      </w:pPr>
    </w:p>
    <w:p w:rsidR="008C28DC" w:rsidRDefault="008C28DC" w:rsidP="008C28DC">
      <w:pPr>
        <w:ind w:left="708"/>
        <w:rPr>
          <w:rFonts w:asciiTheme="minorHAnsi" w:hAnsiTheme="minorHAnsi" w:cstheme="minorHAnsi"/>
          <w:b/>
          <w:sz w:val="22"/>
          <w:szCs w:val="22"/>
        </w:rPr>
      </w:pPr>
      <w:r>
        <w:rPr>
          <w:rFonts w:asciiTheme="minorHAnsi" w:hAnsiTheme="minorHAnsi" w:cstheme="minorHAnsi"/>
          <w:b/>
          <w:sz w:val="22"/>
          <w:szCs w:val="22"/>
        </w:rPr>
        <w:lastRenderedPageBreak/>
        <w:t>Ad. 13</w:t>
      </w:r>
    </w:p>
    <w:p w:rsidR="008C28DC" w:rsidRDefault="008C28DC" w:rsidP="008C28DC">
      <w:pPr>
        <w:ind w:left="708"/>
        <w:rPr>
          <w:rFonts w:asciiTheme="minorHAnsi" w:hAnsiTheme="minorHAnsi" w:cstheme="minorHAnsi"/>
          <w:b/>
          <w:sz w:val="22"/>
          <w:szCs w:val="22"/>
        </w:rPr>
      </w:pPr>
    </w:p>
    <w:p w:rsidR="008C28DC" w:rsidRPr="00D97ADD" w:rsidRDefault="008C28DC" w:rsidP="008C28DC">
      <w:pPr>
        <w:ind w:left="708"/>
        <w:rPr>
          <w:rFonts w:asciiTheme="minorHAnsi" w:hAnsiTheme="minorHAnsi" w:cstheme="minorHAnsi"/>
          <w:b/>
          <w:sz w:val="22"/>
          <w:szCs w:val="22"/>
        </w:rPr>
      </w:pPr>
      <w:r w:rsidRPr="00D97ADD">
        <w:rPr>
          <w:rFonts w:asciiTheme="minorHAnsi" w:hAnsiTheme="minorHAnsi" w:cstheme="minorHAnsi"/>
          <w:b/>
          <w:sz w:val="22"/>
          <w:szCs w:val="22"/>
        </w:rPr>
        <w:t xml:space="preserve">Zamawiający informuje iż rozdział </w:t>
      </w:r>
      <w:r w:rsidRPr="00D97ADD">
        <w:rPr>
          <w:rStyle w:val="fontstyle290"/>
          <w:rFonts w:asciiTheme="minorHAnsi" w:hAnsiTheme="minorHAnsi" w:cstheme="minorHAnsi"/>
          <w:b/>
          <w:sz w:val="22"/>
          <w:szCs w:val="22"/>
        </w:rPr>
        <w:t>VIII SIW</w:t>
      </w:r>
      <w:r w:rsidRPr="00D97ADD">
        <w:rPr>
          <w:rFonts w:asciiTheme="minorHAnsi" w:hAnsiTheme="minorHAnsi" w:cstheme="minorHAnsi"/>
          <w:b/>
          <w:sz w:val="22"/>
          <w:szCs w:val="22"/>
        </w:rPr>
        <w:t xml:space="preserve"> w ust 12, 13 oraz 14 przybiera odpowiednio następujące brzmienie:</w:t>
      </w:r>
    </w:p>
    <w:p w:rsidR="008C28DC" w:rsidRPr="00D97ADD" w:rsidRDefault="008C28DC" w:rsidP="008C28DC">
      <w:pPr>
        <w:ind w:left="708"/>
        <w:rPr>
          <w:rFonts w:asciiTheme="minorHAnsi" w:hAnsiTheme="minorHAnsi" w:cstheme="minorHAnsi"/>
          <w:b/>
          <w:sz w:val="22"/>
          <w:szCs w:val="22"/>
        </w:rPr>
      </w:pPr>
      <w:r w:rsidRPr="00D97ADD">
        <w:rPr>
          <w:rFonts w:asciiTheme="minorHAnsi" w:hAnsiTheme="minorHAnsi" w:cstheme="minorHAnsi"/>
          <w:b/>
          <w:sz w:val="22"/>
          <w:szCs w:val="22"/>
        </w:rPr>
        <w:t> </w:t>
      </w:r>
    </w:p>
    <w:p w:rsidR="008C28DC" w:rsidRPr="00D97ADD" w:rsidRDefault="008C28DC" w:rsidP="008C28DC">
      <w:pPr>
        <w:ind w:left="708"/>
        <w:rPr>
          <w:rFonts w:asciiTheme="minorHAnsi" w:hAnsiTheme="minorHAnsi" w:cstheme="minorHAnsi"/>
          <w:b/>
          <w:sz w:val="22"/>
          <w:szCs w:val="22"/>
        </w:rPr>
      </w:pPr>
      <w:r w:rsidRPr="00D97ADD">
        <w:rPr>
          <w:rFonts w:asciiTheme="minorHAnsi" w:hAnsiTheme="minorHAnsi" w:cstheme="minorHAnsi"/>
          <w:b/>
          <w:sz w:val="22"/>
          <w:szCs w:val="22"/>
        </w:rPr>
        <w:t xml:space="preserve">12.Gwarancja lub poręczenie mają zawierać zapis: „nieodwołalne, bezwarunkowe i płatne na pierwsze pisemne żądanie </w:t>
      </w:r>
      <w:proofErr w:type="spellStart"/>
      <w:r w:rsidRPr="00D97ADD">
        <w:rPr>
          <w:rFonts w:asciiTheme="minorHAnsi" w:hAnsiTheme="minorHAnsi" w:cstheme="minorHAnsi"/>
          <w:b/>
          <w:sz w:val="22"/>
          <w:szCs w:val="22"/>
        </w:rPr>
        <w:t>Copernicus</w:t>
      </w:r>
      <w:proofErr w:type="spellEnd"/>
      <w:r w:rsidRPr="00D97ADD">
        <w:rPr>
          <w:rFonts w:asciiTheme="minorHAnsi" w:hAnsiTheme="minorHAnsi" w:cstheme="minorHAnsi"/>
          <w:b/>
          <w:sz w:val="22"/>
          <w:szCs w:val="22"/>
        </w:rPr>
        <w:t xml:space="preserve"> Podmiot Leczniczy Sp. z o.o.”.</w:t>
      </w:r>
    </w:p>
    <w:p w:rsidR="008C28DC" w:rsidRPr="00D97ADD" w:rsidRDefault="008C28DC" w:rsidP="008C28DC">
      <w:pPr>
        <w:ind w:left="708"/>
        <w:rPr>
          <w:rFonts w:asciiTheme="minorHAnsi" w:hAnsiTheme="minorHAnsi" w:cstheme="minorHAnsi"/>
          <w:b/>
          <w:sz w:val="22"/>
          <w:szCs w:val="22"/>
        </w:rPr>
      </w:pPr>
      <w:r w:rsidRPr="00D97ADD">
        <w:rPr>
          <w:rFonts w:asciiTheme="minorHAnsi" w:hAnsiTheme="minorHAnsi" w:cstheme="minorHAnsi"/>
          <w:b/>
          <w:sz w:val="22"/>
          <w:szCs w:val="22"/>
        </w:rPr>
        <w:t> </w:t>
      </w:r>
    </w:p>
    <w:p w:rsidR="008C28DC" w:rsidRPr="00D97ADD" w:rsidRDefault="008C28DC" w:rsidP="008C28DC">
      <w:pPr>
        <w:ind w:left="708"/>
        <w:rPr>
          <w:rFonts w:asciiTheme="minorHAnsi" w:hAnsiTheme="minorHAnsi" w:cstheme="minorHAnsi"/>
          <w:b/>
          <w:sz w:val="22"/>
          <w:szCs w:val="22"/>
        </w:rPr>
      </w:pPr>
      <w:r w:rsidRPr="00D97ADD">
        <w:rPr>
          <w:rFonts w:asciiTheme="minorHAnsi" w:hAnsiTheme="minorHAnsi" w:cstheme="minorHAnsi"/>
          <w:b/>
          <w:sz w:val="22"/>
          <w:szCs w:val="22"/>
        </w:rPr>
        <w:t xml:space="preserve">13.Zwrot wadium – </w:t>
      </w:r>
      <w:proofErr w:type="spellStart"/>
      <w:r w:rsidRPr="00D97ADD">
        <w:rPr>
          <w:rFonts w:asciiTheme="minorHAnsi" w:hAnsiTheme="minorHAnsi" w:cstheme="minorHAnsi"/>
          <w:b/>
          <w:sz w:val="22"/>
          <w:szCs w:val="22"/>
        </w:rPr>
        <w:t>Copernicus</w:t>
      </w:r>
      <w:proofErr w:type="spellEnd"/>
      <w:r w:rsidRPr="00D97ADD">
        <w:rPr>
          <w:rFonts w:asciiTheme="minorHAnsi" w:hAnsiTheme="minorHAnsi" w:cstheme="minorHAnsi"/>
          <w:b/>
          <w:sz w:val="22"/>
          <w:szCs w:val="22"/>
        </w:rPr>
        <w:t xml:space="preserve"> Podmiot Leczniczy Sp. z o.o. zwróci niezwłocznie wadium według zasad określonych w art. 46 ust. 1, 1a, 2, 4 Ustawy </w:t>
      </w:r>
      <w:proofErr w:type="spellStart"/>
      <w:r w:rsidRPr="00D97ADD">
        <w:rPr>
          <w:rFonts w:asciiTheme="minorHAnsi" w:hAnsiTheme="minorHAnsi" w:cstheme="minorHAnsi"/>
          <w:b/>
          <w:sz w:val="22"/>
          <w:szCs w:val="22"/>
        </w:rPr>
        <w:t>Pzp</w:t>
      </w:r>
      <w:proofErr w:type="spellEnd"/>
      <w:r w:rsidRPr="00D97ADD">
        <w:rPr>
          <w:rFonts w:asciiTheme="minorHAnsi" w:hAnsiTheme="minorHAnsi" w:cstheme="minorHAnsi"/>
          <w:b/>
          <w:sz w:val="22"/>
          <w:szCs w:val="22"/>
        </w:rPr>
        <w:t xml:space="preserve">. </w:t>
      </w:r>
    </w:p>
    <w:p w:rsidR="008C28DC" w:rsidRPr="00D97ADD" w:rsidRDefault="008C28DC" w:rsidP="008C28DC">
      <w:pPr>
        <w:pStyle w:val="NormalnyWeb"/>
        <w:ind w:left="708"/>
        <w:rPr>
          <w:rFonts w:asciiTheme="minorHAnsi" w:hAnsiTheme="minorHAnsi" w:cstheme="minorHAnsi"/>
          <w:b/>
          <w:sz w:val="22"/>
          <w:szCs w:val="22"/>
        </w:rPr>
      </w:pPr>
      <w:r w:rsidRPr="00D97ADD">
        <w:rPr>
          <w:rFonts w:asciiTheme="minorHAnsi" w:hAnsiTheme="minorHAnsi" w:cstheme="minorHAnsi"/>
          <w:b/>
          <w:sz w:val="22"/>
          <w:szCs w:val="22"/>
        </w:rPr>
        <w:t xml:space="preserve">14.Utrata wadium – </w:t>
      </w:r>
      <w:proofErr w:type="spellStart"/>
      <w:r w:rsidRPr="00D97ADD">
        <w:rPr>
          <w:rFonts w:asciiTheme="minorHAnsi" w:hAnsiTheme="minorHAnsi" w:cstheme="minorHAnsi"/>
          <w:b/>
          <w:sz w:val="22"/>
          <w:szCs w:val="22"/>
        </w:rPr>
        <w:t>Copernicus</w:t>
      </w:r>
      <w:proofErr w:type="spellEnd"/>
      <w:r w:rsidRPr="00D97ADD">
        <w:rPr>
          <w:rFonts w:asciiTheme="minorHAnsi" w:hAnsiTheme="minorHAnsi" w:cstheme="minorHAnsi"/>
          <w:b/>
          <w:sz w:val="22"/>
          <w:szCs w:val="22"/>
        </w:rPr>
        <w:t xml:space="preserve"> Podmiot Leczniczy Sp. z o.o. zatrzymuje wadium wraz z odsetkami według zasad określonych w art. 46 ust. 4a-5 Ustawy </w:t>
      </w:r>
      <w:proofErr w:type="spellStart"/>
      <w:r w:rsidRPr="00D97ADD">
        <w:rPr>
          <w:rFonts w:asciiTheme="minorHAnsi" w:hAnsiTheme="minorHAnsi" w:cstheme="minorHAnsi"/>
          <w:b/>
          <w:sz w:val="22"/>
          <w:szCs w:val="22"/>
        </w:rPr>
        <w:t>Pzp</w:t>
      </w:r>
      <w:proofErr w:type="spellEnd"/>
      <w:r w:rsidRPr="00D97ADD">
        <w:rPr>
          <w:rFonts w:asciiTheme="minorHAnsi" w:hAnsiTheme="minorHAnsi" w:cstheme="minorHAnsi"/>
          <w:b/>
          <w:sz w:val="22"/>
          <w:szCs w:val="22"/>
        </w:rPr>
        <w:t>.</w:t>
      </w:r>
    </w:p>
    <w:p w:rsidR="008C28DC" w:rsidRPr="007B2CBE" w:rsidRDefault="008C28DC" w:rsidP="008C28DC">
      <w:pPr>
        <w:pStyle w:val="Style9"/>
        <w:spacing w:line="360" w:lineRule="auto"/>
        <w:ind w:left="714"/>
        <w:rPr>
          <w:rFonts w:ascii="Tahoma" w:hAnsi="Tahoma" w:cs="Tahoma"/>
          <w:sz w:val="18"/>
          <w:szCs w:val="18"/>
        </w:rPr>
      </w:pPr>
    </w:p>
    <w:p w:rsidR="008C28DC" w:rsidRPr="00983439" w:rsidRDefault="008C28DC" w:rsidP="008C28DC">
      <w:pPr>
        <w:spacing w:line="360" w:lineRule="auto"/>
        <w:jc w:val="both"/>
        <w:rPr>
          <w:rFonts w:ascii="Tahoma" w:hAnsi="Tahoma" w:cs="Tahoma"/>
          <w:sz w:val="18"/>
          <w:szCs w:val="18"/>
        </w:rPr>
      </w:pPr>
    </w:p>
    <w:p w:rsidR="008C28DC" w:rsidRPr="00350DE6" w:rsidRDefault="008C28DC" w:rsidP="008C28DC">
      <w:pPr>
        <w:spacing w:line="360" w:lineRule="auto"/>
        <w:ind w:left="708"/>
        <w:rPr>
          <w:rFonts w:ascii="Tahoma" w:hAnsi="Tahoma" w:cs="Tahoma"/>
          <w:sz w:val="18"/>
          <w:szCs w:val="18"/>
        </w:rPr>
      </w:pPr>
    </w:p>
    <w:p w:rsidR="008C28DC" w:rsidRDefault="008C28DC" w:rsidP="008C28DC"/>
    <w:p w:rsidR="008C28DC" w:rsidRDefault="008C28DC" w:rsidP="008C28DC"/>
    <w:p w:rsidR="00E15EF1" w:rsidRPr="008C28DC" w:rsidRDefault="00E15EF1"/>
    <w:sectPr w:rsidR="00E15EF1" w:rsidRPr="008C28DC" w:rsidSect="003F3EE9">
      <w:pgSz w:w="11906" w:h="16838"/>
      <w:pgMar w:top="3232" w:right="85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30" w:rsidRDefault="00131E30" w:rsidP="008C28DC">
      <w:r>
        <w:separator/>
      </w:r>
    </w:p>
  </w:endnote>
  <w:endnote w:type="continuationSeparator" w:id="0">
    <w:p w:rsidR="00131E30" w:rsidRDefault="00131E30" w:rsidP="008C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30" w:rsidRDefault="00131E30" w:rsidP="008C28DC">
      <w:r>
        <w:separator/>
      </w:r>
    </w:p>
  </w:footnote>
  <w:footnote w:type="continuationSeparator" w:id="0">
    <w:p w:rsidR="00131E30" w:rsidRDefault="00131E30" w:rsidP="008C2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65"/>
    <w:multiLevelType w:val="hybridMultilevel"/>
    <w:tmpl w:val="91526AB6"/>
    <w:lvl w:ilvl="0" w:tplc="438A81F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C28DC"/>
    <w:rsid w:val="00131E30"/>
    <w:rsid w:val="008C28DC"/>
    <w:rsid w:val="00E15E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8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28DC"/>
    <w:pPr>
      <w:tabs>
        <w:tab w:val="center" w:pos="4536"/>
        <w:tab w:val="right" w:pos="9072"/>
      </w:tabs>
    </w:pPr>
  </w:style>
  <w:style w:type="character" w:customStyle="1" w:styleId="NagwekZnak">
    <w:name w:val="Nagłówek Znak"/>
    <w:basedOn w:val="Domylnaczcionkaakapitu"/>
    <w:link w:val="Nagwek"/>
    <w:rsid w:val="008C28DC"/>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C28DC"/>
    <w:pPr>
      <w:ind w:left="720"/>
    </w:pPr>
    <w:rPr>
      <w:rFonts w:ascii="Calibri" w:eastAsia="Calibri" w:hAnsi="Calibri"/>
      <w:sz w:val="22"/>
      <w:szCs w:val="22"/>
      <w:lang w:eastAsia="en-US"/>
    </w:rPr>
  </w:style>
  <w:style w:type="character" w:customStyle="1" w:styleId="AkapitzlistZnak">
    <w:name w:val="Akapit z listą Znak"/>
    <w:link w:val="Akapitzlist"/>
    <w:uiPriority w:val="34"/>
    <w:rsid w:val="008C28DC"/>
    <w:rPr>
      <w:rFonts w:ascii="Calibri" w:eastAsia="Calibri" w:hAnsi="Calibri" w:cs="Times New Roman"/>
    </w:rPr>
  </w:style>
  <w:style w:type="paragraph" w:customStyle="1" w:styleId="Style9">
    <w:name w:val="Style9"/>
    <w:basedOn w:val="Normalny"/>
    <w:rsid w:val="008C28DC"/>
    <w:pPr>
      <w:autoSpaceDE w:val="0"/>
      <w:spacing w:line="299" w:lineRule="exact"/>
      <w:jc w:val="both"/>
    </w:pPr>
    <w:rPr>
      <w:rFonts w:eastAsia="Calibri"/>
      <w:lang w:eastAsia="ar-SA"/>
    </w:rPr>
  </w:style>
  <w:style w:type="character" w:customStyle="1" w:styleId="FontStyle29">
    <w:name w:val="Font Style29"/>
    <w:rsid w:val="008C28DC"/>
    <w:rPr>
      <w:rFonts w:ascii="Calibri" w:hAnsi="Calibri" w:hint="default"/>
    </w:rPr>
  </w:style>
  <w:style w:type="character" w:customStyle="1" w:styleId="fontstyle290">
    <w:name w:val="fontstyle29"/>
    <w:basedOn w:val="Domylnaczcionkaakapitu"/>
    <w:rsid w:val="008C28DC"/>
  </w:style>
  <w:style w:type="paragraph" w:styleId="NormalnyWeb">
    <w:name w:val="Normal (Web)"/>
    <w:basedOn w:val="Normalny"/>
    <w:uiPriority w:val="99"/>
    <w:semiHidden/>
    <w:unhideWhenUsed/>
    <w:rsid w:val="008C28DC"/>
    <w:pPr>
      <w:spacing w:before="100" w:beforeAutospacing="1" w:after="100" w:afterAutospacing="1"/>
    </w:pPr>
  </w:style>
  <w:style w:type="paragraph" w:styleId="Stopka">
    <w:name w:val="footer"/>
    <w:basedOn w:val="Normalny"/>
    <w:link w:val="StopkaZnak"/>
    <w:uiPriority w:val="99"/>
    <w:semiHidden/>
    <w:unhideWhenUsed/>
    <w:rsid w:val="008C28DC"/>
    <w:pPr>
      <w:tabs>
        <w:tab w:val="center" w:pos="4536"/>
        <w:tab w:val="right" w:pos="9072"/>
      </w:tabs>
    </w:pPr>
  </w:style>
  <w:style w:type="character" w:customStyle="1" w:styleId="StopkaZnak">
    <w:name w:val="Stopka Znak"/>
    <w:basedOn w:val="Domylnaczcionkaakapitu"/>
    <w:link w:val="Stopka"/>
    <w:uiPriority w:val="99"/>
    <w:semiHidden/>
    <w:rsid w:val="008C28D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3511</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2018-01-19T13:54:00Z</dcterms:created>
  <dcterms:modified xsi:type="dcterms:W3CDTF">2018-01-19T13:55:00Z</dcterms:modified>
</cp:coreProperties>
</file>