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CA2" w:rsidRDefault="00713CA2" w:rsidP="00362CF0">
      <w:pPr>
        <w:spacing w:line="288" w:lineRule="auto"/>
        <w:jc w:val="right"/>
        <w:rPr>
          <w:b/>
          <w:sz w:val="20"/>
        </w:rPr>
      </w:pPr>
      <w:r>
        <w:rPr>
          <w:b/>
          <w:sz w:val="20"/>
        </w:rPr>
        <w:t xml:space="preserve">Zestaw </w:t>
      </w:r>
      <w:r w:rsidR="00DC6BE9">
        <w:rPr>
          <w:b/>
          <w:sz w:val="20"/>
        </w:rPr>
        <w:t>24/</w:t>
      </w:r>
      <w:r>
        <w:rPr>
          <w:b/>
          <w:sz w:val="20"/>
        </w:rPr>
        <w:t xml:space="preserve">32 </w:t>
      </w:r>
    </w:p>
    <w:p w:rsidR="00713CA2" w:rsidRDefault="00713CA2">
      <w:pPr>
        <w:spacing w:line="288" w:lineRule="auto"/>
        <w:rPr>
          <w:b/>
          <w:sz w:val="20"/>
        </w:rPr>
      </w:pPr>
    </w:p>
    <w:p w:rsidR="00713CA2" w:rsidRDefault="00713CA2">
      <w:pPr>
        <w:spacing w:line="288" w:lineRule="auto"/>
        <w:rPr>
          <w:b/>
          <w:sz w:val="20"/>
        </w:rPr>
      </w:pPr>
    </w:p>
    <w:p w:rsidR="007236F8" w:rsidRDefault="007236F8">
      <w:pPr>
        <w:rPr>
          <w:sz w:val="20"/>
          <w:szCs w:val="20"/>
        </w:rPr>
      </w:pP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1. Czy Zamawiający dopuszcza przeliczenie stacji transformatorowej do optymalnej wartości. Zaprojektowane rozwiązanie (zwiększenie mocy nowo-projektowanej stacji 3-krotnie w stosunku do istniejącej zamiast transformatorów 2x630kVA na transformatory 2x2000kVA) spowoduje wygenerowanie zbędnych kosztów zarówno w budowie jak i w eksploatacji. Agregaty rezerwowe zostały zaprojektowane o mocy tylko 2x350kVA ?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BB0D9C">
      <w:pPr>
        <w:rPr>
          <w:b/>
          <w:color w:val="C5000B"/>
          <w:sz w:val="20"/>
          <w:szCs w:val="20"/>
        </w:rPr>
      </w:pPr>
      <w:r>
        <w:rPr>
          <w:b/>
          <w:color w:val="C5000B"/>
          <w:sz w:val="20"/>
          <w:szCs w:val="20"/>
        </w:rPr>
        <w:t>Ad.1. Zamawiający nie dopuszcza przeliczenia stacji transformatorowej. Należy wykonać zgodnie z SIWZ</w:t>
      </w:r>
    </w:p>
    <w:p w:rsidR="007236F8" w:rsidRDefault="007236F8">
      <w:pPr>
        <w:rPr>
          <w:b/>
          <w:color w:val="C5000B"/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2. Czy zakłada się prace agregatów prądotwórczych synchronicznie z siecią?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BB0D9C">
      <w:pPr>
        <w:jc w:val="both"/>
        <w:rPr>
          <w:sz w:val="20"/>
          <w:szCs w:val="20"/>
        </w:rPr>
      </w:pPr>
      <w:r>
        <w:rPr>
          <w:b/>
          <w:color w:val="C5000B"/>
          <w:sz w:val="20"/>
          <w:szCs w:val="20"/>
        </w:rPr>
        <w:t>Ad.2. Zgodnie z SIWZ oraz załącznikami (projekt, warunki przyłączeniowe ) nie przewiduje się pracy synchronicznej agregatów z siecią zawodową.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color w:val="C5000B"/>
          <w:sz w:val="20"/>
          <w:szCs w:val="20"/>
        </w:rPr>
      </w:pPr>
      <w:r>
        <w:rPr>
          <w:sz w:val="20"/>
          <w:szCs w:val="20"/>
        </w:rPr>
        <w:t>3. W projekcie brak informacji na temat sposobu wykonania przełączeń, wymiany rozdzielnicy głównej, rozdzielnicy SN, transformatorów, agregatów. W jaki sposób w istniejącym szpitalu wykonawca ma za pomocą opisanego w opisie agregatu przewoźnego(500kVA str. 21 opisu) gwarantować zasilanie rezerwowe działającego szpitala. Brak informacji na temat wykonania tych prac. Jak należy wykonywać te prace, w jakiej kolejności, czy pod napięciem i obciążeniem. Prosimy o uzupełnienie dokumentacji o te elementy.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BB0D9C">
      <w:pPr>
        <w:jc w:val="both"/>
      </w:pPr>
      <w:r>
        <w:rPr>
          <w:b/>
          <w:color w:val="C5000B"/>
          <w:sz w:val="20"/>
          <w:szCs w:val="20"/>
        </w:rPr>
        <w:t xml:space="preserve">Ad.3. W SIWZ -  </w:t>
      </w:r>
      <w:proofErr w:type="spellStart"/>
      <w:r>
        <w:rPr>
          <w:b/>
          <w:color w:val="C5000B"/>
          <w:sz w:val="20"/>
          <w:szCs w:val="20"/>
        </w:rPr>
        <w:t>zalaczniki</w:t>
      </w:r>
      <w:proofErr w:type="spellEnd"/>
      <w:r>
        <w:rPr>
          <w:b/>
          <w:color w:val="C5000B"/>
          <w:sz w:val="20"/>
          <w:szCs w:val="20"/>
        </w:rPr>
        <w:t xml:space="preserve"> do </w:t>
      </w:r>
      <w:proofErr w:type="spellStart"/>
      <w:r>
        <w:rPr>
          <w:b/>
          <w:color w:val="C5000B"/>
          <w:sz w:val="20"/>
          <w:szCs w:val="20"/>
        </w:rPr>
        <w:t>OPZ\zal</w:t>
      </w:r>
      <w:proofErr w:type="spellEnd"/>
      <w:r>
        <w:rPr>
          <w:b/>
          <w:color w:val="C5000B"/>
          <w:sz w:val="20"/>
          <w:szCs w:val="20"/>
        </w:rPr>
        <w:t xml:space="preserve">. 1 do OPZ - dokumentacja </w:t>
      </w:r>
      <w:proofErr w:type="spellStart"/>
      <w:r>
        <w:rPr>
          <w:b/>
          <w:color w:val="C5000B"/>
          <w:sz w:val="20"/>
          <w:szCs w:val="20"/>
        </w:rPr>
        <w:t>projektowa\PROJEKTY</w:t>
      </w:r>
      <w:proofErr w:type="spellEnd"/>
      <w:r>
        <w:rPr>
          <w:b/>
          <w:color w:val="C5000B"/>
          <w:sz w:val="20"/>
          <w:szCs w:val="20"/>
        </w:rPr>
        <w:t xml:space="preserve"> WYKONAWCZE 11.2016 CD.1\TOM 3\SSTWIOR\IE znajduje się plik o nazwie </w:t>
      </w:r>
      <w:proofErr w:type="spellStart"/>
      <w:r>
        <w:rPr>
          <w:b/>
          <w:color w:val="C5000B"/>
          <w:sz w:val="20"/>
          <w:szCs w:val="20"/>
        </w:rPr>
        <w:t>STWIOR_GC</w:t>
      </w:r>
      <w:proofErr w:type="spellEnd"/>
      <w:r>
        <w:rPr>
          <w:b/>
          <w:color w:val="C5000B"/>
          <w:sz w:val="20"/>
          <w:szCs w:val="20"/>
        </w:rPr>
        <w:t xml:space="preserve"> 20170103 – jest to STWIOR dla branży elektrycznej i teletechnicznej , gdzie opisano warunki przełączeń. </w:t>
      </w:r>
    </w:p>
    <w:p w:rsidR="007236F8" w:rsidRDefault="00BB0D9C">
      <w:pPr>
        <w:jc w:val="both"/>
        <w:rPr>
          <w:b/>
          <w:color w:val="C5000B"/>
          <w:sz w:val="20"/>
          <w:szCs w:val="20"/>
        </w:rPr>
      </w:pPr>
      <w:r>
        <w:rPr>
          <w:b/>
          <w:color w:val="C5000B"/>
          <w:sz w:val="20"/>
          <w:szCs w:val="20"/>
        </w:rPr>
        <w:t xml:space="preserve">Nie przewiduje się długotrwałych wyłączeń całego szpitala. Sporządzony przez wykonawcę harmonogram i sposób przełączeń musi uwzględniać etapowanie prac. W związku z powyższym nie przewiduje się konieczności zastosowania większego agregatu przewoźnego. </w:t>
      </w:r>
    </w:p>
    <w:p w:rsidR="007236F8" w:rsidRDefault="00BB0D9C">
      <w:pPr>
        <w:tabs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236F8" w:rsidRDefault="00BB0D9C">
      <w:pPr>
        <w:rPr>
          <w:color w:val="C5000B"/>
          <w:sz w:val="20"/>
          <w:szCs w:val="20"/>
        </w:rPr>
      </w:pPr>
      <w:r>
        <w:rPr>
          <w:sz w:val="20"/>
          <w:szCs w:val="20"/>
        </w:rPr>
        <w:t>4. Czy cały szpital będzie można wyłączyć od zasilania na czas wymiany rozdzielnic i prób, jeśli tak to na jak długo?</w:t>
      </w:r>
    </w:p>
    <w:p w:rsidR="007236F8" w:rsidRDefault="00BB0D9C">
      <w:r>
        <w:rPr>
          <w:b/>
          <w:color w:val="C5000B"/>
          <w:sz w:val="20"/>
          <w:szCs w:val="20"/>
        </w:rPr>
        <w:t>Ad.4. Zgodnie z odpowiedzią na pytanie nr 3</w:t>
      </w:r>
    </w:p>
    <w:p w:rsidR="007236F8" w:rsidRDefault="007236F8">
      <w:pPr>
        <w:rPr>
          <w:b/>
          <w:color w:val="C5000B"/>
          <w:sz w:val="20"/>
          <w:szCs w:val="20"/>
        </w:rPr>
      </w:pPr>
    </w:p>
    <w:p w:rsidR="007236F8" w:rsidRDefault="00BB0D9C">
      <w:pPr>
        <w:rPr>
          <w:color w:val="C5000B"/>
          <w:sz w:val="20"/>
          <w:szCs w:val="20"/>
        </w:rPr>
      </w:pPr>
      <w:r>
        <w:rPr>
          <w:sz w:val="20"/>
          <w:szCs w:val="20"/>
        </w:rPr>
        <w:t xml:space="preserve">5. Czy prace związane z kablami SN, przekładnikami SN itd. które należą do </w:t>
      </w:r>
      <w:proofErr w:type="spellStart"/>
      <w:r>
        <w:rPr>
          <w:sz w:val="20"/>
          <w:szCs w:val="20"/>
        </w:rPr>
        <w:t>Energa</w:t>
      </w:r>
      <w:proofErr w:type="spellEnd"/>
      <w:r>
        <w:rPr>
          <w:sz w:val="20"/>
          <w:szCs w:val="20"/>
        </w:rPr>
        <w:t xml:space="preserve"> nie powinny być opisane i uzgodnione z zakładem energetycznym. Brak informacji i uzgodnień w projekcie. Niniejsze prace maja wpływ na wykonanie robót ziemnych a nie zostały opisane co może znacząco wpłynąć na termin realizacji zadania a co za tym idzie ponoszenie przez GW dodatkowych kosztów budowy.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BB0D9C">
      <w:pPr>
        <w:rPr>
          <w:color w:val="C5000B"/>
          <w:sz w:val="20"/>
          <w:szCs w:val="20"/>
        </w:rPr>
      </w:pPr>
      <w:r>
        <w:rPr>
          <w:b/>
          <w:color w:val="C5000B"/>
          <w:sz w:val="20"/>
          <w:szCs w:val="20"/>
        </w:rPr>
        <w:t xml:space="preserve">Ad.5. Zamawiający informuje, iż projekt stacji transformatorowej został w całości uzgodniony z </w:t>
      </w:r>
      <w:proofErr w:type="spellStart"/>
      <w:r>
        <w:rPr>
          <w:b/>
          <w:color w:val="C5000B"/>
          <w:sz w:val="20"/>
          <w:szCs w:val="20"/>
        </w:rPr>
        <w:t>Energa</w:t>
      </w:r>
      <w:proofErr w:type="spellEnd"/>
      <w:r>
        <w:rPr>
          <w:b/>
          <w:color w:val="C5000B"/>
          <w:sz w:val="20"/>
          <w:szCs w:val="20"/>
        </w:rPr>
        <w:t xml:space="preserve"> Operator. Uzgodniony projekt Zamawiający dołącza jako załącznik nr 1 do Wyjaśnień treści SIWZ.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color w:val="C5000B"/>
          <w:sz w:val="20"/>
          <w:szCs w:val="20"/>
        </w:rPr>
      </w:pPr>
      <w:r>
        <w:rPr>
          <w:sz w:val="20"/>
          <w:szCs w:val="20"/>
        </w:rPr>
        <w:t xml:space="preserve">6. Projekt wykonawczy SN pomija problemy związane z przełączeniem istniejącego działającego szpitala(wymiana wyposażenia stacji). Prosimy o przesłanie opracowania </w:t>
      </w:r>
      <w:proofErr w:type="spellStart"/>
      <w:r>
        <w:rPr>
          <w:sz w:val="20"/>
          <w:szCs w:val="20"/>
        </w:rPr>
        <w:t>uwzgledniającego</w:t>
      </w:r>
      <w:proofErr w:type="spellEnd"/>
      <w:r>
        <w:rPr>
          <w:sz w:val="20"/>
          <w:szCs w:val="20"/>
        </w:rPr>
        <w:t xml:space="preserve"> te prace . W projekcie te tematy zostały pominięte a koszt takich działań w zależności od przyjętego rozwiązania może być znaczny.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BB0D9C">
      <w:pPr>
        <w:jc w:val="both"/>
        <w:rPr>
          <w:b/>
          <w:color w:val="C5000B"/>
          <w:sz w:val="20"/>
          <w:szCs w:val="20"/>
        </w:rPr>
      </w:pPr>
      <w:r>
        <w:rPr>
          <w:b/>
          <w:color w:val="C5000B"/>
          <w:sz w:val="20"/>
          <w:szCs w:val="20"/>
        </w:rPr>
        <w:t xml:space="preserve">Ad.6. Zgodnie z odpowiedzią nr 3 . Zamawiający dodatkowo informuje, iż przewiduje wymianę wyposażenia średniego napięcia poszczególnymi sekcjami. Wyłączenie jednego transformatora i jednej sekcji , ich wymiana na nowe a dopiero wówczas wyłączenie drugiej </w:t>
      </w:r>
      <w:r>
        <w:rPr>
          <w:b/>
          <w:color w:val="C5000B"/>
          <w:sz w:val="20"/>
          <w:szCs w:val="20"/>
        </w:rPr>
        <w:lastRenderedPageBreak/>
        <w:t>sekcji i drugiego transformatora i przełączenie w tym czasie zasilania szpitala na już zmodernizowaną sekcję.</w:t>
      </w:r>
    </w:p>
    <w:p w:rsidR="007236F8" w:rsidRDefault="007236F8">
      <w:pPr>
        <w:jc w:val="both"/>
        <w:rPr>
          <w:b/>
          <w:color w:val="C5000B"/>
          <w:sz w:val="20"/>
          <w:szCs w:val="20"/>
        </w:rPr>
      </w:pPr>
    </w:p>
    <w:p w:rsidR="007236F8" w:rsidRDefault="00BB0D9C">
      <w:pPr>
        <w:rPr>
          <w:color w:val="C5000B"/>
          <w:sz w:val="20"/>
          <w:szCs w:val="20"/>
        </w:rPr>
      </w:pPr>
      <w:r>
        <w:rPr>
          <w:sz w:val="20"/>
          <w:szCs w:val="20"/>
        </w:rPr>
        <w:t>7. Zwieszenie transformatorów spowoduje zwiększenie poziomu mocy zwarciowej(prądu zwarciowego) na wszystkich istniejących rozdzielnicach w obiekcie. W projekcie brak obliczeń tych narażeń, czy istniejące aparaty na obiekcie nie będą wymagały wymiany?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BB0D9C">
      <w:pPr>
        <w:jc w:val="both"/>
      </w:pPr>
      <w:r>
        <w:rPr>
          <w:b/>
          <w:color w:val="C5000B"/>
          <w:sz w:val="20"/>
          <w:szCs w:val="20"/>
        </w:rPr>
        <w:t>Ad.7. Nie przewiduje się wymiany aparatów istniejących na obiektach. Wymianie podlegają aparaty zabezpieczające linie kablowe zasilające poszczególne budynki, co zostało ujęte w projekcie nowej rozdzielni głównej niskiego napięcia w budynku stacji transformatorowej</w:t>
      </w:r>
    </w:p>
    <w:p w:rsidR="007236F8" w:rsidRDefault="007236F8"/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color w:val="C5000B"/>
          <w:sz w:val="20"/>
          <w:szCs w:val="20"/>
        </w:rPr>
      </w:pPr>
      <w:r>
        <w:rPr>
          <w:sz w:val="20"/>
          <w:szCs w:val="20"/>
        </w:rPr>
        <w:t>8. Brak w projekcie opisu rezerwowania transformatorów 3 i 4 na czas wymiany linii kablowej SN, która ma je zasilać?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BB0D9C">
      <w:pPr>
        <w:rPr>
          <w:color w:val="C5000B"/>
          <w:sz w:val="20"/>
          <w:szCs w:val="20"/>
        </w:rPr>
      </w:pPr>
      <w:r>
        <w:rPr>
          <w:b/>
          <w:color w:val="C5000B"/>
          <w:sz w:val="20"/>
          <w:szCs w:val="20"/>
        </w:rPr>
        <w:t>Ad.8. Zgodnie z SIWZ i SSTWIOR Wykonawca opracuje szczegółowy harmonogram i sposób wyłączeń w uzgodnieniu z Zamawiającym. Zamawiający nie przewiduje możliwości długotrwałego wyłączenia jednocześnie obu linii kablowych SN i obu transformatorów stacji OST. Wyłączenia te będą wykonywane etapowo.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r w:rsidRPr="004D6B89">
        <w:rPr>
          <w:sz w:val="20"/>
          <w:szCs w:val="20"/>
        </w:rPr>
        <w:t xml:space="preserve">9 . W zał. 14 do opisu przedmiotu zamówienia Zamawiający zawarł wytyczne dotyczące klawiatury oraz myszki . Prosimy o potwierdzenie że można zastosować klawiaturę medyczną silikonową oraz standardową myszkę medyczną  IP65 które można dezynfekować . Klawiatura opisana w załączniku nr 14 nie jest dostępna na rynku polskim oraz nie ma też serwisu na rynku polskim co w przypadku uszkodzenia uniemożliwia skuteczną jej wymianę . Klawiatura opisana w załączniku nr 14 dodatkowo waży aż 7 </w:t>
      </w:r>
      <w:proofErr w:type="spellStart"/>
      <w:r w:rsidRPr="004D6B89">
        <w:rPr>
          <w:sz w:val="20"/>
          <w:szCs w:val="20"/>
        </w:rPr>
        <w:t>kg</w:t>
      </w:r>
      <w:proofErr w:type="spellEnd"/>
      <w:r w:rsidRPr="004D6B89">
        <w:rPr>
          <w:sz w:val="20"/>
          <w:szCs w:val="20"/>
        </w:rPr>
        <w:t>. Dodatkowo niniejsza klawiatura wymaga podłączenia do sieci 230V co uniemożliwia jej swobodne podłączanie do monitorów na Sali operacyjnej zgodnie z wskazaniem z opisu ?</w:t>
      </w:r>
    </w:p>
    <w:p w:rsidR="004D6B89" w:rsidRDefault="004D6B89">
      <w:pPr>
        <w:rPr>
          <w:sz w:val="20"/>
          <w:szCs w:val="20"/>
        </w:rPr>
      </w:pPr>
    </w:p>
    <w:p w:rsidR="00DD53B5" w:rsidRDefault="00DD53B5">
      <w:pPr>
        <w:rPr>
          <w:b/>
          <w:sz w:val="20"/>
          <w:szCs w:val="20"/>
        </w:rPr>
      </w:pPr>
      <w:r>
        <w:rPr>
          <w:b/>
          <w:sz w:val="20"/>
          <w:szCs w:val="20"/>
        </w:rPr>
        <w:t>Ad. 9</w:t>
      </w:r>
    </w:p>
    <w:p w:rsidR="00DD53B5" w:rsidRPr="00DD53B5" w:rsidRDefault="00DD53B5" w:rsidP="00DD53B5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 w:rsidRPr="002701C6">
        <w:rPr>
          <w:rStyle w:val="Uwydatnienie"/>
          <w:sz w:val="20"/>
          <w:szCs w:val="20"/>
        </w:rPr>
        <w:t>Zamawiający dopuszcza rozwiązania równoważne</w:t>
      </w:r>
      <w:r>
        <w:rPr>
          <w:rStyle w:val="Uwydatnienie"/>
          <w:sz w:val="20"/>
          <w:szCs w:val="20"/>
        </w:rPr>
        <w:t xml:space="preserve"> zgodnie z opisanymi parametrami</w:t>
      </w:r>
      <w:r w:rsidRPr="002701C6">
        <w:rPr>
          <w:rStyle w:val="Uwydatnienie"/>
          <w:sz w:val="20"/>
          <w:szCs w:val="20"/>
        </w:rPr>
        <w:t>. Szczegółowe propozycje będą akceptowane na etapie kart materiałowych.</w:t>
      </w:r>
      <w:r>
        <w:rPr>
          <w:rStyle w:val="Uwydatnienie"/>
          <w:sz w:val="20"/>
          <w:szCs w:val="20"/>
        </w:rPr>
        <w:t xml:space="preserve"> </w:t>
      </w:r>
      <w:r w:rsidR="004D6B89">
        <w:rPr>
          <w:rStyle w:val="Uwydatnienie"/>
          <w:sz w:val="20"/>
          <w:szCs w:val="20"/>
        </w:rPr>
        <w:t>Klawiatura, o której mowa jest dostępna na rynku polskim i dostarczana przez polskiego autoryzowanego dystrybutora, jest ona również przez niego serwisowana.</w:t>
      </w:r>
    </w:p>
    <w:p w:rsidR="00DD53B5" w:rsidRPr="00DD53B5" w:rsidRDefault="00DD53B5" w:rsidP="00DD53B5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  <w:r w:rsidRPr="00DD53B5">
        <w:rPr>
          <w:sz w:val="20"/>
          <w:szCs w:val="20"/>
          <w:lang w:eastAsia="pl-PL"/>
        </w:rPr>
        <w:t> 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10. Prosimy o potwierdzenie że równoważność rozwiązania zatwierdza i akceptuje uprawniony przedstawiciel Zamawiającego a Projektant pełniący Nadzór Autorski na zlecenie Zamawiającego zatwierdza na prośbę przedstawiciela Zamawiającego.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jc w:val="both"/>
        <w:rPr>
          <w:sz w:val="20"/>
          <w:szCs w:val="20"/>
        </w:rPr>
      </w:pPr>
      <w:r>
        <w:rPr>
          <w:b/>
          <w:color w:val="C5000B"/>
          <w:sz w:val="20"/>
          <w:szCs w:val="20"/>
        </w:rPr>
        <w:t>Ad.10. Zamawiający potwierdza, iż zgodnie z SIWZ równoważność potwierdza uprawniony przedstawiciel Zamawiającego. Akceptacja poszczególnych materiałów nastąpi na etapie akceptacji kart materiałowych , co zostało opisane w SIWZ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r>
        <w:rPr>
          <w:sz w:val="20"/>
          <w:szCs w:val="20"/>
        </w:rPr>
        <w:t>11. Dla lamp operacyjnych czy Zamawiający dopuści kopułę satelitarną wyposażoną w 72 diody LED jeśli spełnione będą oczekiwane parametry świetlne? Zapewni to większą energooszczędność urządzenia.</w:t>
      </w:r>
    </w:p>
    <w:p w:rsidR="007236F8" w:rsidRDefault="00BB0D9C">
      <w:pPr>
        <w:tabs>
          <w:tab w:val="decimal" w:pos="1008"/>
        </w:tabs>
        <w:spacing w:before="180"/>
        <w:ind w:left="1008" w:right="288"/>
      </w:pPr>
      <w:r>
        <w:rPr>
          <w:rFonts w:ascii="Calibri" w:hAnsi="Calibri"/>
          <w:b/>
          <w:bCs/>
          <w:color w:val="FF0000"/>
          <w:spacing w:val="-9"/>
          <w:w w:val="105"/>
        </w:rPr>
        <w:t>Odpowiedź: Zgoda, zmiana SIWZ</w:t>
      </w:r>
    </w:p>
    <w:tbl>
      <w:tblPr>
        <w:tblW w:w="5000" w:type="pc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897"/>
        <w:gridCol w:w="8248"/>
      </w:tblGrid>
      <w:tr w:rsidR="007236F8">
        <w:trPr>
          <w:cantSplit/>
          <w:trHeight w:val="510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236F8" w:rsidRDefault="00BB0D9C">
            <w:pPr>
              <w:pStyle w:val="Tekstpodstawowywcity"/>
              <w:spacing w:after="0" w:line="276" w:lineRule="auto"/>
              <w:ind w:left="720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8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236F8" w:rsidRDefault="00BB0D9C">
            <w:pPr>
              <w:pStyle w:val="Tekstpodstawowy"/>
              <w:snapToGrid w:val="0"/>
              <w:spacing w:after="0" w:line="276" w:lineRule="auto"/>
            </w:pP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 xml:space="preserve">Źródło światła – białe diody LED. </w:t>
            </w:r>
            <w:r>
              <w:rPr>
                <w:rFonts w:asciiTheme="minorHAnsi" w:hAnsiTheme="minorHAnsi" w:cs="Calibri"/>
                <w:strike/>
                <w:color w:val="000000"/>
                <w:spacing w:val="-1"/>
                <w:sz w:val="22"/>
                <w:szCs w:val="22"/>
                <w:highlight w:val="yellow"/>
              </w:rPr>
              <w:t>Każda kopuła wyposażona w minimum 90 diod LED</w:t>
            </w: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 xml:space="preserve">. Pobór mocy – maksymalnie </w:t>
            </w:r>
            <w:r>
              <w:rPr>
                <w:rFonts w:asciiTheme="minorHAnsi" w:hAnsiTheme="minorHAnsi" w:cs="Calibri"/>
                <w:strike/>
                <w:color w:val="000000"/>
                <w:spacing w:val="-1"/>
                <w:sz w:val="22"/>
                <w:szCs w:val="22"/>
                <w:highlight w:val="yellow"/>
              </w:rPr>
              <w:t xml:space="preserve">160 </w:t>
            </w: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  <w:highlight w:val="yellow"/>
              </w:rPr>
              <w:t>240 W</w:t>
            </w: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 xml:space="preserve"> dla kopuły głównej oraz kopuły satelitarnej łącznie.</w:t>
            </w:r>
          </w:p>
        </w:tc>
      </w:tr>
    </w:tbl>
    <w:p w:rsidR="007236F8" w:rsidRDefault="007236F8">
      <w:pPr>
        <w:tabs>
          <w:tab w:val="decimal" w:pos="1008"/>
        </w:tabs>
        <w:spacing w:before="180"/>
        <w:ind w:left="1008" w:right="288"/>
        <w:rPr>
          <w:sz w:val="20"/>
          <w:szCs w:val="20"/>
        </w:rPr>
      </w:pP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12. Dla lamp operacyjnych czy Zamawiający dopuści kopuły bez modułu centralnego, w których  równomierne oświetlenie pola operacyjnego i maksymalna bezcieniowość zostały osiągnięte dzięki zastosowaniu specjalnych soczewek?</w:t>
      </w:r>
    </w:p>
    <w:p w:rsidR="007236F8" w:rsidRDefault="00BB0D9C">
      <w:pPr>
        <w:tabs>
          <w:tab w:val="decimal" w:pos="1008"/>
        </w:tabs>
        <w:spacing w:before="180"/>
        <w:ind w:left="1008" w:right="288"/>
        <w:rPr>
          <w:sz w:val="20"/>
          <w:szCs w:val="20"/>
        </w:rPr>
      </w:pPr>
      <w:r>
        <w:rPr>
          <w:rFonts w:ascii="Calibri" w:hAnsi="Calibri"/>
          <w:b/>
          <w:bCs/>
          <w:color w:val="FF0000"/>
          <w:spacing w:val="-9"/>
          <w:w w:val="105"/>
          <w:szCs w:val="20"/>
        </w:rPr>
        <w:t>Odpowiedź: SIWZ bez zmian</w:t>
      </w:r>
    </w:p>
    <w:p w:rsidR="007236F8" w:rsidRDefault="007236F8">
      <w:pPr>
        <w:tabs>
          <w:tab w:val="decimal" w:pos="1008"/>
        </w:tabs>
        <w:spacing w:before="180"/>
        <w:ind w:left="1008" w:right="288"/>
        <w:rPr>
          <w:rFonts w:ascii="Calibri" w:hAnsi="Calibri"/>
          <w:b/>
          <w:bCs/>
          <w:color w:val="FF0000"/>
          <w:spacing w:val="-9"/>
          <w:w w:val="105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13.Dla lamp operacyjnych czy Zamawiający dopuści lampę o temperaturze barwowej regulowanej w 3 krokach: 3800K – 4400K - 5000K?</w:t>
      </w:r>
    </w:p>
    <w:p w:rsidR="007236F8" w:rsidRDefault="00BB0D9C">
      <w:pPr>
        <w:tabs>
          <w:tab w:val="decimal" w:pos="1008"/>
        </w:tabs>
        <w:spacing w:before="180"/>
        <w:ind w:left="1008" w:right="288"/>
        <w:rPr>
          <w:sz w:val="20"/>
          <w:szCs w:val="20"/>
        </w:rPr>
      </w:pPr>
      <w:r>
        <w:rPr>
          <w:rFonts w:ascii="Calibri" w:hAnsi="Calibri"/>
          <w:b/>
          <w:bCs/>
          <w:color w:val="FF0000"/>
          <w:spacing w:val="-9"/>
          <w:w w:val="105"/>
          <w:szCs w:val="20"/>
        </w:rPr>
        <w:t>Odpowiedź: Zgoda, zmiana SIWZ</w:t>
      </w:r>
    </w:p>
    <w:p w:rsidR="007236F8" w:rsidRDefault="00BB0D9C">
      <w:pPr>
        <w:pStyle w:val="Tekstpodstawowy"/>
        <w:snapToGrid w:val="0"/>
        <w:spacing w:line="276" w:lineRule="auto"/>
        <w:rPr>
          <w:sz w:val="20"/>
          <w:szCs w:val="20"/>
          <w:highlight w:val="yellow"/>
        </w:rPr>
      </w:pPr>
      <w:r>
        <w:rPr>
          <w:rFonts w:asciiTheme="minorHAnsi" w:hAnsiTheme="minorHAnsi" w:cs="Calibri"/>
          <w:sz w:val="22"/>
          <w:szCs w:val="22"/>
          <w:highlight w:val="yellow"/>
        </w:rPr>
        <w:t xml:space="preserve">Temperatura barwowa regulowana w min. 3 krokach w zakresie </w:t>
      </w:r>
      <w:r>
        <w:rPr>
          <w:rFonts w:asciiTheme="minorHAnsi" w:hAnsiTheme="minorHAnsi" w:cs="Calibri"/>
          <w:b/>
          <w:bCs/>
          <w:strike/>
          <w:color w:val="FF0000"/>
          <w:spacing w:val="-9"/>
          <w:w w:val="105"/>
          <w:sz w:val="22"/>
          <w:szCs w:val="22"/>
          <w:highlight w:val="yellow"/>
        </w:rPr>
        <w:t xml:space="preserve">min. 4000K </w:t>
      </w:r>
      <w:proofErr w:type="spellStart"/>
      <w:r>
        <w:rPr>
          <w:rFonts w:asciiTheme="minorHAnsi" w:hAnsiTheme="minorHAnsi" w:cs="Calibri"/>
          <w:b/>
          <w:bCs/>
          <w:strike/>
          <w:color w:val="FF0000"/>
          <w:spacing w:val="-9"/>
          <w:w w:val="105"/>
          <w:sz w:val="22"/>
          <w:szCs w:val="22"/>
          <w:highlight w:val="yellow"/>
        </w:rPr>
        <w:t>max</w:t>
      </w:r>
      <w:proofErr w:type="spellEnd"/>
      <w:r>
        <w:rPr>
          <w:rFonts w:asciiTheme="minorHAnsi" w:hAnsiTheme="minorHAnsi" w:cs="Calibri"/>
          <w:b/>
          <w:bCs/>
          <w:strike/>
          <w:color w:val="FF0000"/>
          <w:spacing w:val="-9"/>
          <w:w w:val="105"/>
          <w:sz w:val="22"/>
          <w:szCs w:val="22"/>
          <w:highlight w:val="yellow"/>
        </w:rPr>
        <w:t>. 5000 K</w:t>
      </w:r>
      <w:r>
        <w:rPr>
          <w:rFonts w:asciiTheme="minorHAnsi" w:hAnsiTheme="minorHAnsi" w:cs="Calibri"/>
          <w:b/>
          <w:bCs/>
          <w:color w:val="FF0000"/>
          <w:spacing w:val="-9"/>
          <w:w w:val="105"/>
          <w:sz w:val="22"/>
          <w:szCs w:val="22"/>
          <w:highlight w:val="yellow"/>
        </w:rPr>
        <w:t xml:space="preserve"> min. 4000K - 4700 K</w:t>
      </w:r>
      <w:r>
        <w:rPr>
          <w:rFonts w:asciiTheme="minorHAnsi" w:hAnsiTheme="minorHAnsi" w:cs="Calibri"/>
          <w:sz w:val="22"/>
          <w:szCs w:val="22"/>
          <w:highlight w:val="yellow"/>
        </w:rPr>
        <w:t>. Zakres regulacji temperatury barwowej, niezależnie od natężenia światła</w:t>
      </w:r>
    </w:p>
    <w:p w:rsidR="007236F8" w:rsidRDefault="007236F8">
      <w:pPr>
        <w:pStyle w:val="Tekstpodstawowy"/>
        <w:snapToGri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14. Czy Zamawiający dopuści lampę o następującym zakresie regulacji wielkości pola operacyjnego: 16 – 32 cm dla czaszy głównej i 16-28 dla czaszy satelitarnej?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tabs>
          <w:tab w:val="decimal" w:pos="1008"/>
        </w:tabs>
        <w:spacing w:before="180"/>
        <w:ind w:left="1008" w:right="288"/>
        <w:rPr>
          <w:sz w:val="20"/>
          <w:szCs w:val="20"/>
        </w:rPr>
      </w:pPr>
      <w:r>
        <w:rPr>
          <w:rFonts w:ascii="Calibri" w:hAnsi="Calibri"/>
          <w:b/>
          <w:bCs/>
          <w:color w:val="FF0000"/>
          <w:spacing w:val="-9"/>
          <w:w w:val="105"/>
          <w:szCs w:val="20"/>
        </w:rPr>
        <w:t>Odpowiedź: Zgoda, zmiana SIWZ</w:t>
      </w:r>
    </w:p>
    <w:p w:rsidR="007236F8" w:rsidRDefault="007236F8">
      <w:pPr>
        <w:tabs>
          <w:tab w:val="decimal" w:pos="1008"/>
        </w:tabs>
        <w:spacing w:before="180"/>
        <w:ind w:left="1008" w:right="288"/>
        <w:rPr>
          <w:sz w:val="20"/>
          <w:szCs w:val="20"/>
        </w:rPr>
      </w:pPr>
    </w:p>
    <w:p w:rsidR="007236F8" w:rsidRDefault="007236F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1292"/>
        <w:gridCol w:w="7853"/>
      </w:tblGrid>
      <w:tr w:rsidR="007236F8">
        <w:trPr>
          <w:cantSplit/>
          <w:trHeight w:val="152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236F8" w:rsidRDefault="00BB0D9C">
            <w:pPr>
              <w:pStyle w:val="Tekstpodstawowywcity"/>
              <w:spacing w:after="0" w:line="276" w:lineRule="auto"/>
              <w:ind w:left="1003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24</w:t>
            </w:r>
          </w:p>
        </w:tc>
        <w:tc>
          <w:tcPr>
            <w:tcW w:w="8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236F8" w:rsidRDefault="00BB0D9C">
            <w:pPr>
              <w:spacing w:line="276" w:lineRule="auto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Minimalny zakres regulacji wielkości pola operacyjnego każdej czaszy </w:t>
            </w:r>
            <w:r>
              <w:rPr>
                <w:rFonts w:asciiTheme="minorHAnsi" w:hAnsiTheme="minorHAnsi"/>
                <w:strike/>
                <w:sz w:val="22"/>
                <w:szCs w:val="22"/>
                <w:highlight w:val="yellow"/>
              </w:rPr>
              <w:t>dla (D10-D50)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strike/>
                <w:sz w:val="22"/>
                <w:szCs w:val="22"/>
                <w:highlight w:val="yellow"/>
              </w:rPr>
              <w:t xml:space="preserve">14 – 28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16 – 25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cm</w:t>
            </w:r>
          </w:p>
          <w:p w:rsidR="007236F8" w:rsidRDefault="00BB0D9C">
            <w:pPr>
              <w:spacing w:line="276" w:lineRule="auto"/>
              <w:rPr>
                <w:strike/>
              </w:rPr>
            </w:pPr>
            <w:r>
              <w:rPr>
                <w:rFonts w:asciiTheme="minorHAnsi" w:hAnsiTheme="minorHAnsi"/>
                <w:strike/>
                <w:sz w:val="22"/>
                <w:szCs w:val="22"/>
              </w:rPr>
              <w:t>D10 – średnica pola świetlnego dla 10% maksymalnej mocy oświetlenia, zgodnie z EN-60601-2-41</w:t>
            </w:r>
          </w:p>
          <w:p w:rsidR="007236F8" w:rsidRDefault="00BB0D9C">
            <w:pPr>
              <w:spacing w:line="276" w:lineRule="auto"/>
              <w:rPr>
                <w:strike/>
              </w:rPr>
            </w:pPr>
            <w:r>
              <w:rPr>
                <w:rFonts w:asciiTheme="minorHAnsi" w:hAnsiTheme="minorHAnsi"/>
                <w:strike/>
                <w:sz w:val="22"/>
                <w:szCs w:val="22"/>
              </w:rPr>
              <w:t>D50 – średnica pola świetlnego dla 50% maksymalnej mocy oświetlenia, zgodnie z EN-60601-2-41</w:t>
            </w:r>
          </w:p>
        </w:tc>
      </w:tr>
    </w:tbl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 xml:space="preserve">15. Czy Zamawiający dopuści lampę o wgłębności oświetlenia 120 cm dla czaszy głównej i 100 cm dla czaszy satelitarnej (L1+L2 względem </w:t>
      </w:r>
      <w:proofErr w:type="spellStart"/>
      <w:r>
        <w:rPr>
          <w:sz w:val="20"/>
          <w:szCs w:val="20"/>
        </w:rPr>
        <w:t>Ec</w:t>
      </w:r>
      <w:proofErr w:type="spellEnd"/>
      <w:r>
        <w:rPr>
          <w:sz w:val="20"/>
          <w:szCs w:val="20"/>
        </w:rPr>
        <w:t>)?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tabs>
          <w:tab w:val="decimal" w:pos="1008"/>
        </w:tabs>
        <w:ind w:left="720"/>
      </w:pPr>
      <w:r>
        <w:rPr>
          <w:rFonts w:ascii="Calibri" w:hAnsi="Calibri"/>
          <w:b/>
          <w:bCs/>
          <w:color w:val="FF0000"/>
          <w:spacing w:val="-5"/>
          <w:w w:val="105"/>
        </w:rPr>
        <w:t>Odpowiedz. Zgoda, zmiana SIWZ</w:t>
      </w:r>
    </w:p>
    <w:p w:rsidR="007236F8" w:rsidRDefault="00BB0D9C">
      <w:pPr>
        <w:pStyle w:val="Tekstpodstawowy"/>
        <w:tabs>
          <w:tab w:val="decimal" w:pos="1008"/>
        </w:tabs>
        <w:snapToGrid w:val="0"/>
        <w:spacing w:after="0" w:line="276" w:lineRule="auto"/>
        <w:ind w:left="720"/>
        <w:rPr>
          <w:sz w:val="20"/>
          <w:szCs w:val="20"/>
        </w:rPr>
      </w:pPr>
      <w:r>
        <w:rPr>
          <w:rFonts w:asciiTheme="minorHAnsi" w:hAnsiTheme="minorHAnsi" w:cs="Calibri"/>
          <w:b/>
          <w:bCs/>
          <w:color w:val="FF0000"/>
          <w:spacing w:val="-5"/>
          <w:w w:val="105"/>
          <w:sz w:val="22"/>
          <w:szCs w:val="22"/>
        </w:rPr>
        <w:t xml:space="preserve">Wgłębność oświetlenia (L1+L2 względem </w:t>
      </w:r>
      <w:proofErr w:type="spellStart"/>
      <w:r>
        <w:rPr>
          <w:rFonts w:asciiTheme="minorHAnsi" w:hAnsiTheme="minorHAnsi" w:cs="Calibri"/>
          <w:b/>
          <w:bCs/>
          <w:color w:val="FF0000"/>
          <w:spacing w:val="-5"/>
          <w:w w:val="105"/>
          <w:sz w:val="22"/>
          <w:szCs w:val="22"/>
        </w:rPr>
        <w:t>E</w:t>
      </w:r>
      <w:r>
        <w:rPr>
          <w:rFonts w:asciiTheme="minorHAnsi" w:hAnsiTheme="minorHAnsi" w:cs="Calibri"/>
          <w:b/>
          <w:bCs/>
          <w:color w:val="FF0000"/>
          <w:spacing w:val="-5"/>
          <w:w w:val="105"/>
          <w:sz w:val="22"/>
          <w:szCs w:val="22"/>
          <w:vertAlign w:val="subscript"/>
        </w:rPr>
        <w:t>c</w:t>
      </w:r>
      <w:proofErr w:type="spellEnd"/>
      <w:r>
        <w:rPr>
          <w:rFonts w:asciiTheme="minorHAnsi" w:hAnsiTheme="minorHAnsi" w:cs="Calibri"/>
          <w:b/>
          <w:bCs/>
          <w:color w:val="FF0000"/>
          <w:spacing w:val="-5"/>
          <w:w w:val="105"/>
          <w:sz w:val="22"/>
          <w:szCs w:val="22"/>
        </w:rPr>
        <w:t xml:space="preserve">)  – minimum </w:t>
      </w:r>
      <w:r>
        <w:rPr>
          <w:rFonts w:asciiTheme="minorHAnsi" w:hAnsiTheme="minorHAnsi" w:cs="Calibri"/>
          <w:b/>
          <w:bCs/>
          <w:strike/>
          <w:color w:val="FF0000"/>
          <w:spacing w:val="-5"/>
          <w:w w:val="105"/>
          <w:sz w:val="20"/>
          <w:szCs w:val="20"/>
          <w:highlight w:val="yellow"/>
        </w:rPr>
        <w:t xml:space="preserve">140 </w:t>
      </w:r>
      <w:r>
        <w:rPr>
          <w:rFonts w:asciiTheme="minorHAnsi" w:hAnsiTheme="minorHAnsi" w:cs="Calibri"/>
          <w:b/>
          <w:bCs/>
          <w:color w:val="FF0000"/>
          <w:spacing w:val="-5"/>
          <w:w w:val="105"/>
          <w:sz w:val="20"/>
          <w:szCs w:val="20"/>
          <w:highlight w:val="yellow"/>
        </w:rPr>
        <w:t>105</w:t>
      </w:r>
      <w:r>
        <w:rPr>
          <w:rFonts w:asciiTheme="minorHAnsi" w:hAnsiTheme="minorHAnsi" w:cs="Calibri"/>
          <w:b/>
          <w:bCs/>
          <w:strike/>
          <w:color w:val="FF0000"/>
          <w:spacing w:val="-5"/>
          <w:w w:val="105"/>
          <w:sz w:val="20"/>
          <w:szCs w:val="20"/>
          <w:highlight w:val="yellow"/>
        </w:rPr>
        <w:t xml:space="preserve"> </w:t>
      </w:r>
      <w:r>
        <w:rPr>
          <w:rFonts w:asciiTheme="minorHAnsi" w:hAnsiTheme="minorHAnsi" w:cs="Calibri"/>
          <w:b/>
          <w:bCs/>
          <w:color w:val="FF0000"/>
          <w:spacing w:val="-5"/>
          <w:w w:val="105"/>
          <w:sz w:val="20"/>
          <w:szCs w:val="20"/>
        </w:rPr>
        <w:t>cm dla kopuły głównej i minimum  100 cm dla kopuły satelitarnej.</w:t>
      </w:r>
    </w:p>
    <w:p w:rsidR="007236F8" w:rsidRDefault="007236F8">
      <w:pPr>
        <w:pStyle w:val="Tekstpodstawowy"/>
        <w:tabs>
          <w:tab w:val="decimal" w:pos="1008"/>
        </w:tabs>
        <w:snapToGrid w:val="0"/>
        <w:spacing w:after="0" w:line="276" w:lineRule="auto"/>
        <w:ind w:left="720"/>
        <w:rPr>
          <w:rFonts w:asciiTheme="minorHAnsi" w:hAnsiTheme="minorHAnsi" w:cs="Calibri"/>
          <w:b/>
          <w:bCs/>
          <w:color w:val="FF0000"/>
          <w:spacing w:val="-5"/>
          <w:w w:val="105"/>
          <w:sz w:val="20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16. Czy Zamawiający dopuści lampę o białym oświetleniu endoskopowym, regulowanym w zakresie 2000-8000 lx (świeci 6 diod kopuły)?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tabs>
          <w:tab w:val="decimal" w:pos="1008"/>
        </w:tabs>
        <w:ind w:left="720"/>
        <w:rPr>
          <w:sz w:val="20"/>
          <w:szCs w:val="20"/>
        </w:rPr>
      </w:pPr>
      <w:bookmarkStart w:id="0" w:name="__DdeLink__1657_1582417305"/>
      <w:r>
        <w:rPr>
          <w:rFonts w:ascii="Calibri" w:hAnsi="Calibri"/>
          <w:b/>
          <w:bCs/>
          <w:color w:val="FF0000"/>
          <w:spacing w:val="-5"/>
          <w:w w:val="105"/>
          <w:szCs w:val="20"/>
        </w:rPr>
        <w:t>Odpowiedz</w:t>
      </w:r>
      <w:bookmarkEnd w:id="0"/>
      <w:r>
        <w:rPr>
          <w:rFonts w:ascii="Calibri" w:hAnsi="Calibri"/>
          <w:b/>
          <w:bCs/>
          <w:color w:val="FF0000"/>
          <w:spacing w:val="-5"/>
          <w:w w:val="105"/>
          <w:szCs w:val="20"/>
        </w:rPr>
        <w:t>. Zgoda, zmiana SIWZ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9145"/>
      </w:tblGrid>
      <w:tr w:rsidR="007236F8">
        <w:trPr>
          <w:cantSplit/>
          <w:trHeight w:val="712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236F8" w:rsidRDefault="00BB0D9C">
            <w:pPr>
              <w:pStyle w:val="Tekstpodstawowy"/>
              <w:snapToGrid w:val="0"/>
              <w:spacing w:after="0" w:line="276" w:lineRule="auto"/>
            </w:pPr>
            <w:bookmarkStart w:id="1" w:name="__DdeLink__706_5877438291"/>
            <w:r>
              <w:rPr>
                <w:rFonts w:asciiTheme="minorHAnsi" w:hAnsiTheme="minorHAnsi" w:cs="Calibri"/>
                <w:spacing w:val="-1"/>
                <w:sz w:val="20"/>
                <w:szCs w:val="20"/>
              </w:rPr>
              <w:t>Oświetlenie endoskopowe – funkcja oświetlenia endoskopowego (kolor zielony</w:t>
            </w:r>
            <w:r>
              <w:rPr>
                <w:rFonts w:asciiTheme="minorHAnsi" w:hAnsiTheme="minorHAnsi" w:cs="Calibri"/>
                <w:spacing w:val="-1"/>
                <w:sz w:val="20"/>
                <w:szCs w:val="20"/>
                <w:highlight w:val="yellow"/>
              </w:rPr>
              <w:t xml:space="preserve"> i/lub biały)</w:t>
            </w:r>
            <w:r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Calibri"/>
                <w:strike/>
                <w:spacing w:val="-1"/>
                <w:sz w:val="20"/>
                <w:szCs w:val="20"/>
                <w:highlight w:val="yellow"/>
              </w:rPr>
              <w:t>odwracająca kierunek oświetlania o 180</w:t>
            </w:r>
            <w:r>
              <w:rPr>
                <w:rFonts w:asciiTheme="minorHAnsi" w:hAnsiTheme="minorHAnsi" w:cs="Calibri"/>
                <w:strike/>
                <w:spacing w:val="-2"/>
                <w:sz w:val="20"/>
                <w:szCs w:val="20"/>
                <w:highlight w:val="yellow"/>
                <w:vertAlign w:val="superscript"/>
              </w:rPr>
              <w:t>0</w:t>
            </w:r>
            <w:r>
              <w:rPr>
                <w:rFonts w:asciiTheme="minorHAnsi" w:hAnsiTheme="minorHAnsi" w:cs="Calibri"/>
                <w:strike/>
                <w:spacing w:val="-1"/>
                <w:sz w:val="20"/>
                <w:szCs w:val="20"/>
                <w:highlight w:val="yellow"/>
              </w:rPr>
              <w:t xml:space="preserve"> w kierunku sufitu</w:t>
            </w:r>
            <w:r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Calibri"/>
                <w:spacing w:val="-1"/>
                <w:sz w:val="20"/>
                <w:szCs w:val="20"/>
                <w:highlight w:val="yellow"/>
              </w:rPr>
              <w:t>nieoślepiające oraz nie powodujące odbłys</w:t>
            </w:r>
            <w:bookmarkEnd w:id="1"/>
            <w:r>
              <w:rPr>
                <w:rFonts w:asciiTheme="minorHAnsi" w:hAnsiTheme="minorHAnsi" w:cs="Calibri"/>
                <w:spacing w:val="-1"/>
                <w:sz w:val="20"/>
                <w:szCs w:val="20"/>
                <w:highlight w:val="yellow"/>
              </w:rPr>
              <w:t>ków w monitorach znajdujących się w sali operacyjnej</w:t>
            </w:r>
          </w:p>
        </w:tc>
      </w:tr>
    </w:tbl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17. Czy Zamawiający dopuści lampy o następującym zakresie ruchu wysięgników kopuł oraz monitora:</w:t>
      </w:r>
    </w:p>
    <w:p w:rsidR="007236F8" w:rsidRDefault="00BB0D9C">
      <w:pPr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•             </w:t>
      </w:r>
      <w:r>
        <w:rPr>
          <w:sz w:val="20"/>
          <w:szCs w:val="20"/>
        </w:rPr>
        <w:t>obrót o min. 330 stopni wokół mocowania głównego (pionowa oś lampy)</w:t>
      </w:r>
    </w:p>
    <w:p w:rsidR="007236F8" w:rsidRDefault="00BB0D9C">
      <w:pPr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•             </w:t>
      </w:r>
      <w:r>
        <w:rPr>
          <w:sz w:val="20"/>
          <w:szCs w:val="20"/>
        </w:rPr>
        <w:t>obrót ramienia uchylnego wokół przegubu łączącego ramiona o min. 330° (wokół osi pośredniej – osi pionowej pomiędzy ramieniem poziomym a ramieniem uchylnym)</w:t>
      </w:r>
    </w:p>
    <w:p w:rsidR="007236F8" w:rsidRDefault="00BB0D9C">
      <w:pPr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•             </w:t>
      </w:r>
      <w:r>
        <w:rPr>
          <w:sz w:val="20"/>
          <w:szCs w:val="20"/>
        </w:rPr>
        <w:t>obrót o min. 330° na przegubie łączącym kopułę z ramieniem uchylnym?</w:t>
      </w: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Ograniczenia wynikają z punktu 37 specyfikacji, czyli konieczności wcześniejszego umieszczenia w zawieszeniu okablowania.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tabs>
          <w:tab w:val="decimal" w:pos="1008"/>
        </w:tabs>
        <w:ind w:left="720"/>
        <w:rPr>
          <w:sz w:val="20"/>
          <w:szCs w:val="20"/>
        </w:rPr>
      </w:pPr>
      <w:r>
        <w:rPr>
          <w:rFonts w:ascii="Calibri" w:hAnsi="Calibri"/>
          <w:b/>
          <w:bCs/>
          <w:color w:val="FF0000"/>
          <w:spacing w:val="-5"/>
          <w:w w:val="105"/>
          <w:szCs w:val="20"/>
        </w:rPr>
        <w:t>Odpowiedz: zgodnie ze zmienionym SIWZ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1292"/>
        <w:gridCol w:w="7853"/>
      </w:tblGrid>
      <w:tr w:rsidR="007236F8">
        <w:trPr>
          <w:cantSplit/>
          <w:trHeight w:val="466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236F8" w:rsidRDefault="00BB0D9C">
            <w:pPr>
              <w:pStyle w:val="Tekstpodstawowywcity"/>
              <w:spacing w:after="0" w:line="276" w:lineRule="auto"/>
              <w:ind w:left="1003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8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236F8" w:rsidRDefault="00BB0D9C">
            <w:pPr>
              <w:snapToGrid w:val="0"/>
              <w:spacing w:line="276" w:lineRule="auto"/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Zakres ruchu wysięgników kopuł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satelitarnych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7236F8" w:rsidRDefault="00BB0D9C">
            <w:pPr>
              <w:pStyle w:val="Tekstpodstawowy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</w:pPr>
            <w:r>
              <w:rPr>
                <w:rFonts w:asciiTheme="minorHAnsi" w:hAnsiTheme="minorHAnsi" w:cs="Calibri"/>
                <w:sz w:val="22"/>
                <w:szCs w:val="22"/>
              </w:rPr>
              <w:t>obrót o min. 360</w:t>
            </w:r>
            <w:r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wokół mocowania głównego (pionowa oś lampy)</w:t>
            </w:r>
          </w:p>
          <w:p w:rsidR="007236F8" w:rsidRDefault="00BB0D9C">
            <w:pPr>
              <w:pStyle w:val="Tekstpodstawowy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obrót ramienia uchylnego wokół przegubu łączącego ramiona o min. 360° (wokół osi pośredniej – osi pionowej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pomiedzy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ramieniem poziomym a ramieniem uchylnym)</w:t>
            </w:r>
          </w:p>
          <w:p w:rsidR="007236F8" w:rsidRDefault="00BB0D9C">
            <w:pPr>
              <w:pStyle w:val="Tekstpodstawowy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</w:pPr>
            <w:r>
              <w:rPr>
                <w:rFonts w:asciiTheme="minorHAnsi" w:hAnsiTheme="minorHAnsi" w:cs="Calibri"/>
                <w:sz w:val="22"/>
                <w:szCs w:val="22"/>
              </w:rPr>
              <w:t>obrót o min. 360° na przegubie łączącym kopułę z ramieniem uchylnym</w:t>
            </w:r>
          </w:p>
          <w:p w:rsidR="007236F8" w:rsidRDefault="00BB0D9C">
            <w:pPr>
              <w:pStyle w:val="Tekstpodstawowy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Regulacja góra/dół ramienia uchylnego min. </w:t>
            </w:r>
            <w:r>
              <w:rPr>
                <w:rFonts w:asciiTheme="minorHAnsi" w:hAnsiTheme="minorHAnsi" w:cs="Calibri"/>
                <w:strike/>
                <w:sz w:val="22"/>
                <w:szCs w:val="22"/>
                <w:highlight w:val="yellow"/>
              </w:rPr>
              <w:t>100</w:t>
            </w: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>° 90°</w:t>
            </w:r>
          </w:p>
          <w:p w:rsidR="007236F8" w:rsidRDefault="007236F8">
            <w:pPr>
              <w:pStyle w:val="Tekstpodstawowy"/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</w:p>
          <w:p w:rsidR="007236F8" w:rsidRDefault="00BB0D9C">
            <w:pPr>
              <w:snapToGrid w:val="0"/>
              <w:spacing w:line="276" w:lineRule="auto"/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Zakres ruchu wysięgników kopuł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głównych i ramion na monitory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7236F8" w:rsidRDefault="00BB0D9C">
            <w:pPr>
              <w:pStyle w:val="Tekstpodstawowy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obrót o min. </w:t>
            </w: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>300</w:t>
            </w:r>
            <w:r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wokół mocowania głównego (pionowa oś lampy)</w:t>
            </w:r>
          </w:p>
          <w:p w:rsidR="007236F8" w:rsidRDefault="00BB0D9C">
            <w:pPr>
              <w:pStyle w:val="Tekstpodstawowy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obrót ramienia uchylnego wokół przegubu łączącego ramiona o min. </w:t>
            </w: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>300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° (wokół osi pośredniej – osi pionowej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pomiedzy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ramieniem poziomym a ramieniem uchylnym)</w:t>
            </w:r>
          </w:p>
          <w:p w:rsidR="007236F8" w:rsidRDefault="00BB0D9C">
            <w:pPr>
              <w:pStyle w:val="Tekstpodstawowy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obrót o min. </w:t>
            </w: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>300</w:t>
            </w:r>
            <w:r>
              <w:rPr>
                <w:rFonts w:asciiTheme="minorHAnsi" w:hAnsiTheme="minorHAnsi" w:cs="Calibri"/>
                <w:sz w:val="22"/>
                <w:szCs w:val="22"/>
              </w:rPr>
              <w:t>° na przegubie łączącym kopułę z ramieniem uchylnym</w:t>
            </w:r>
          </w:p>
          <w:p w:rsidR="007236F8" w:rsidRDefault="00BB0D9C">
            <w:pPr>
              <w:pStyle w:val="Tekstpodstawowy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</w:pP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 xml:space="preserve">Regulacja góra/dół ramienia uchylnego min. </w:t>
            </w:r>
            <w:r>
              <w:rPr>
                <w:rFonts w:asciiTheme="minorHAnsi" w:hAnsiTheme="minorHAnsi" w:cs="Calibri"/>
                <w:strike/>
                <w:sz w:val="22"/>
                <w:szCs w:val="22"/>
                <w:highlight w:val="yellow"/>
              </w:rPr>
              <w:t>100</w:t>
            </w: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>° 90°</w:t>
            </w:r>
          </w:p>
        </w:tc>
      </w:tr>
    </w:tbl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 xml:space="preserve">18. Z uwagi na bardzo duży zakres dokumentacji oraz przerwę świąteczną w tym u dostawców sprzętu która uniemożliwiała otrzymanie ofert w wymaganym terminie składania ofert oraz liczne pytania prosimy o przesunięcie terminu składania ofert na dzień 15.02.2018 r. 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jc w:val="both"/>
        <w:rPr>
          <w:sz w:val="20"/>
          <w:szCs w:val="20"/>
        </w:rPr>
      </w:pPr>
      <w:r>
        <w:rPr>
          <w:b/>
          <w:color w:val="C5000B"/>
          <w:sz w:val="20"/>
          <w:szCs w:val="20"/>
        </w:rPr>
        <w:t>Ad.18. Zamawiający dokonał zmiany terminu składania ofert, co opublikował w we wcześniejszych wyjaśnieniach treści SIWZ. Nowy termin został ustalony na 15.02.2018 r.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19. W dokumentacji brak jest badań geologicznych prosimy o ich udostępnienie.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jc w:val="both"/>
        <w:rPr>
          <w:sz w:val="20"/>
          <w:szCs w:val="20"/>
        </w:rPr>
      </w:pPr>
      <w:r>
        <w:rPr>
          <w:b/>
          <w:color w:val="C5000B"/>
          <w:sz w:val="20"/>
          <w:szCs w:val="20"/>
        </w:rPr>
        <w:t xml:space="preserve">Ad.19. Zamawiający informuje, iż badania geologiczne zostały udostępnione na stronie przetargu  jako załącznik SIWZ i znajdują się w  </w:t>
      </w:r>
      <w:proofErr w:type="spellStart"/>
      <w:r>
        <w:rPr>
          <w:b/>
          <w:color w:val="C5000B"/>
          <w:sz w:val="20"/>
          <w:szCs w:val="20"/>
        </w:rPr>
        <w:t>zalaczniki</w:t>
      </w:r>
      <w:proofErr w:type="spellEnd"/>
      <w:r>
        <w:rPr>
          <w:b/>
          <w:color w:val="C5000B"/>
          <w:sz w:val="20"/>
          <w:szCs w:val="20"/>
        </w:rPr>
        <w:t xml:space="preserve"> do OPZ\ </w:t>
      </w:r>
      <w:proofErr w:type="spellStart"/>
      <w:r>
        <w:rPr>
          <w:b/>
          <w:color w:val="C5000B"/>
          <w:sz w:val="20"/>
          <w:szCs w:val="20"/>
        </w:rPr>
        <w:t>zal</w:t>
      </w:r>
      <w:proofErr w:type="spellEnd"/>
      <w:r>
        <w:rPr>
          <w:b/>
          <w:color w:val="C5000B"/>
          <w:sz w:val="20"/>
          <w:szCs w:val="20"/>
        </w:rPr>
        <w:t xml:space="preserve">. 1 do OPZ - dokumentacja </w:t>
      </w:r>
      <w:proofErr w:type="spellStart"/>
      <w:r>
        <w:rPr>
          <w:b/>
          <w:color w:val="C5000B"/>
          <w:sz w:val="20"/>
          <w:szCs w:val="20"/>
        </w:rPr>
        <w:t>projektowa\PROJEKTY</w:t>
      </w:r>
      <w:proofErr w:type="spellEnd"/>
      <w:r>
        <w:rPr>
          <w:b/>
          <w:color w:val="C5000B"/>
          <w:sz w:val="20"/>
          <w:szCs w:val="20"/>
        </w:rPr>
        <w:t xml:space="preserve"> WYKONAWCZE 11.2016 CD.1\TOM 1\TOM 1.1\TOM 1.1.1\001_OPIS\ZAŁĄCZNIKI\BADANIA GRUNTOWE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20. Prosimy o przekazanie kart doboru central wentylacyjnych w celu dobrania odpowiedniej automatyki .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b/>
          <w:color w:val="C5000B"/>
          <w:sz w:val="20"/>
          <w:szCs w:val="20"/>
        </w:rPr>
      </w:pPr>
      <w:r>
        <w:rPr>
          <w:b/>
          <w:color w:val="C5000B"/>
          <w:sz w:val="20"/>
          <w:szCs w:val="20"/>
        </w:rPr>
        <w:t xml:space="preserve">Ad.20. Zamawiający prosi o zapoznanie się z treścią SIWZ i załączników. Wszystkie dane dotyczące central znajdują się w projekcie wykonawczym TOM 3 ( opis-  gdzie wskazano wymagania dla każdej centrali, zamieszczono tabele z wyposażeniem , rysunki – gdzie pokazano schematy automatyki każdej z central, oraz SSTWIOR ) </w:t>
      </w:r>
    </w:p>
    <w:p w:rsidR="007236F8" w:rsidRDefault="007236F8">
      <w:pPr>
        <w:rPr>
          <w:b/>
          <w:color w:val="C5000B"/>
          <w:sz w:val="20"/>
          <w:szCs w:val="20"/>
        </w:rPr>
      </w:pPr>
    </w:p>
    <w:p w:rsidR="007236F8" w:rsidRPr="00374E9C" w:rsidRDefault="00BB0D9C">
      <w:pPr>
        <w:rPr>
          <w:sz w:val="20"/>
          <w:szCs w:val="20"/>
        </w:rPr>
      </w:pPr>
      <w:r w:rsidRPr="00374E9C">
        <w:rPr>
          <w:sz w:val="20"/>
          <w:szCs w:val="20"/>
        </w:rPr>
        <w:t xml:space="preserve">21. Prosimy o szczegółowe opisanie prac remontowych niezbędnych do wykonania w centrali telefonicznej informacja podana w </w:t>
      </w:r>
      <w:bookmarkStart w:id="2" w:name="_Hlk503264423"/>
      <w:r w:rsidRPr="00374E9C">
        <w:rPr>
          <w:sz w:val="20"/>
          <w:szCs w:val="20"/>
        </w:rPr>
        <w:t>załączniku nr 7 do opisu przedmiotu zamówienia</w:t>
      </w:r>
      <w:bookmarkEnd w:id="2"/>
      <w:r w:rsidRPr="00374E9C">
        <w:rPr>
          <w:sz w:val="20"/>
          <w:szCs w:val="20"/>
        </w:rPr>
        <w:t>. Prosimy o podanie ilości punktów do skonfigurowania brak jest tych danych w dokumentacji . Prosimy o udostępnienie schematu oraz specyfikacji dla tego zakresu prac .</w:t>
      </w:r>
    </w:p>
    <w:p w:rsidR="00FB0795" w:rsidRPr="00374E9C" w:rsidRDefault="00FB0795">
      <w:pPr>
        <w:rPr>
          <w:sz w:val="20"/>
          <w:szCs w:val="20"/>
        </w:rPr>
      </w:pPr>
    </w:p>
    <w:p w:rsidR="00FB0795" w:rsidRPr="00374E9C" w:rsidRDefault="00FB0795">
      <w:pPr>
        <w:rPr>
          <w:b/>
          <w:sz w:val="20"/>
          <w:szCs w:val="20"/>
        </w:rPr>
      </w:pPr>
      <w:r w:rsidRPr="00374E9C">
        <w:rPr>
          <w:b/>
          <w:sz w:val="20"/>
          <w:szCs w:val="20"/>
        </w:rPr>
        <w:t>Ad. 21</w:t>
      </w:r>
    </w:p>
    <w:p w:rsidR="00FB0795" w:rsidRPr="00374E9C" w:rsidRDefault="00374E9C" w:rsidP="00374E9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74E9C">
        <w:rPr>
          <w:b/>
          <w:sz w:val="20"/>
          <w:szCs w:val="20"/>
        </w:rPr>
        <w:lastRenderedPageBreak/>
        <w:t xml:space="preserve">W zakresie </w:t>
      </w:r>
      <w:r w:rsidRPr="00374E9C">
        <w:rPr>
          <w:rFonts w:ascii="Calibri" w:hAnsi="Calibri"/>
          <w:b/>
          <w:sz w:val="22"/>
          <w:szCs w:val="22"/>
        </w:rPr>
        <w:t xml:space="preserve">przedmiotu zamówienia jest dostarczenie, uruchomienie, konfiguracja oraz włączenie do sieci miejskiej i abonenckiej fabrycznie nowej centrali telefonicznej (serwera telekomunikacyjnego) w budynku Szpitala św. Wojciecha przy ul. Jana Pawła II 50.  </w:t>
      </w:r>
    </w:p>
    <w:p w:rsidR="007236F8" w:rsidRPr="000E5F5C" w:rsidRDefault="007236F8">
      <w:pPr>
        <w:rPr>
          <w:sz w:val="20"/>
          <w:szCs w:val="20"/>
        </w:rPr>
      </w:pPr>
    </w:p>
    <w:p w:rsidR="007236F8" w:rsidRPr="000E5F5C" w:rsidRDefault="00BB0D9C">
      <w:pPr>
        <w:rPr>
          <w:sz w:val="20"/>
          <w:szCs w:val="20"/>
        </w:rPr>
      </w:pPr>
      <w:r w:rsidRPr="000E5F5C">
        <w:rPr>
          <w:sz w:val="20"/>
          <w:szCs w:val="20"/>
        </w:rPr>
        <w:t>22. Prosimy o wskazanie dla centrali telefonicznej parametrów głównych na podstawie których będzie oceniana równoważność zaproponowanych rozwiązań . Na rynku jest wiele rozwiązań powszechnie stosowanych a opis zawarty w załączniku nr 7 do opisu przedmiotu zamówienia wskazuje jednoznacznie tylko na jednego dostawcę co stanowi naruszenie zasad uczciwej konkurencji .</w:t>
      </w:r>
    </w:p>
    <w:p w:rsidR="000E5F5C" w:rsidRDefault="000E5F5C">
      <w:pPr>
        <w:rPr>
          <w:b/>
          <w:sz w:val="20"/>
          <w:szCs w:val="20"/>
        </w:rPr>
      </w:pPr>
    </w:p>
    <w:p w:rsidR="000E5F5C" w:rsidRPr="000E5F5C" w:rsidRDefault="000E5F5C">
      <w:pPr>
        <w:rPr>
          <w:b/>
          <w:sz w:val="20"/>
          <w:szCs w:val="20"/>
        </w:rPr>
      </w:pPr>
      <w:r w:rsidRPr="000E5F5C">
        <w:rPr>
          <w:b/>
          <w:sz w:val="20"/>
          <w:szCs w:val="20"/>
        </w:rPr>
        <w:t>Ad. 22</w:t>
      </w:r>
    </w:p>
    <w:p w:rsidR="00FB0795" w:rsidRDefault="000E5F5C" w:rsidP="000E5F5C">
      <w:pPr>
        <w:jc w:val="both"/>
        <w:rPr>
          <w:b/>
          <w:color w:val="C5000B"/>
          <w:sz w:val="20"/>
          <w:szCs w:val="20"/>
        </w:rPr>
      </w:pPr>
      <w:r>
        <w:rPr>
          <w:b/>
          <w:color w:val="C5000B"/>
          <w:sz w:val="20"/>
          <w:szCs w:val="20"/>
        </w:rPr>
        <w:t xml:space="preserve">Zamawiający wymaga, aby dobrane przez Wykonawcę urządzenia czy rozwiązania techniczne posiadały parametry nie gorsze niż określone w SIWZ. Jeśli w SIWZ zostały przywołane konkretne nazwy produktów , to są one przez Zamawiającego traktowane wyłącznie  jako przykładowe rozwiązania. Wykonawca  ma prawo przedstawić do akceptacji karty materiałowe urządzeń czy rozwiązań dowolnych producentów, których parametry są nie gorsze niż określone w SIWZ. Postawą do akceptacji zaproponowanego rozwiązania będzie spełnienie względów funkcjonalnych, ilości oraz pozostałe wskazane w SIWZ. Dodatkowo centrala telefoniczna musi zostać zintegrowana z istniejącą </w:t>
      </w:r>
      <w:r w:rsidR="00FB0795">
        <w:rPr>
          <w:b/>
          <w:color w:val="C5000B"/>
          <w:sz w:val="20"/>
          <w:szCs w:val="20"/>
        </w:rPr>
        <w:t>zgodnie z SIWZ.</w:t>
      </w:r>
      <w:r>
        <w:rPr>
          <w:b/>
          <w:color w:val="C5000B"/>
          <w:sz w:val="20"/>
          <w:szCs w:val="20"/>
        </w:rPr>
        <w:t xml:space="preserve"> </w:t>
      </w:r>
      <w:r w:rsidR="00FB0795">
        <w:rPr>
          <w:b/>
          <w:color w:val="C5000B"/>
          <w:sz w:val="20"/>
          <w:szCs w:val="20"/>
        </w:rPr>
        <w:t xml:space="preserve">Zamawiający dopuszcza zmiany niektórych </w:t>
      </w:r>
      <w:r>
        <w:rPr>
          <w:b/>
          <w:color w:val="C5000B"/>
          <w:sz w:val="20"/>
          <w:szCs w:val="20"/>
        </w:rPr>
        <w:t>parametrów w stosunku do SIWZ</w:t>
      </w:r>
      <w:r w:rsidR="00FB0795">
        <w:rPr>
          <w:b/>
          <w:color w:val="C5000B"/>
          <w:sz w:val="20"/>
          <w:szCs w:val="20"/>
        </w:rPr>
        <w:t>, jednak ocena ich możliwa będzie dopiero na etapie akceptacji kart materiałowych. W związku z powyższym spełnione zostały przez Zamawiającego wymogi uczciwej konkurencji</w:t>
      </w:r>
    </w:p>
    <w:p w:rsidR="00FB0795" w:rsidRDefault="00FB0795" w:rsidP="000E5F5C">
      <w:pPr>
        <w:jc w:val="both"/>
        <w:rPr>
          <w:b/>
          <w:color w:val="C5000B"/>
          <w:sz w:val="20"/>
          <w:szCs w:val="20"/>
        </w:rPr>
      </w:pPr>
    </w:p>
    <w:p w:rsidR="007236F8" w:rsidRPr="00BB0D9C" w:rsidRDefault="007236F8">
      <w:pPr>
        <w:rPr>
          <w:sz w:val="20"/>
          <w:szCs w:val="20"/>
          <w:highlight w:val="yellow"/>
        </w:rPr>
      </w:pPr>
    </w:p>
    <w:p w:rsidR="007236F8" w:rsidRDefault="00BB0D9C">
      <w:pPr>
        <w:rPr>
          <w:sz w:val="20"/>
          <w:szCs w:val="20"/>
        </w:rPr>
      </w:pPr>
      <w:r w:rsidRPr="00DD53B5">
        <w:rPr>
          <w:sz w:val="20"/>
          <w:szCs w:val="20"/>
        </w:rPr>
        <w:t>23. Prosimy o potwierdzenie że zgodnie z załącznikiem nr 10 do Opisu przedmiotu zamówienia .</w:t>
      </w:r>
      <w:r w:rsidRPr="00DD53B5">
        <w:t xml:space="preserve"> </w:t>
      </w:r>
      <w:r w:rsidRPr="00DD53B5">
        <w:rPr>
          <w:sz w:val="20"/>
          <w:szCs w:val="20"/>
        </w:rPr>
        <w:t xml:space="preserve">Zamawiający dopuszcza rozwiązania równoważne natomiast warunek równoważności dotyczy spełnienia warunku by ilości mediów oraz elementów wyposażenia paneli, mostów i kolumn były zgodne z zaproponowanym rozwiązaniem. Dodatkowo zakończenia gazów medycznych wraz z wyposażeniem muszą być wyrobem medycznym klasy </w:t>
      </w:r>
      <w:proofErr w:type="spellStart"/>
      <w:r w:rsidRPr="00DD53B5">
        <w:rPr>
          <w:sz w:val="20"/>
          <w:szCs w:val="20"/>
        </w:rPr>
        <w:t>IIb</w:t>
      </w:r>
      <w:proofErr w:type="spellEnd"/>
      <w:r w:rsidRPr="00DD53B5">
        <w:rPr>
          <w:sz w:val="20"/>
          <w:szCs w:val="20"/>
        </w:rPr>
        <w:t xml:space="preserve"> z certyfikatem CE. Na etapie kart materiałowych nastąpi akceptacja.</w:t>
      </w:r>
    </w:p>
    <w:p w:rsidR="002701C6" w:rsidRDefault="002701C6">
      <w:pPr>
        <w:rPr>
          <w:b/>
          <w:sz w:val="20"/>
          <w:szCs w:val="20"/>
        </w:rPr>
      </w:pPr>
      <w:r>
        <w:rPr>
          <w:b/>
          <w:sz w:val="20"/>
          <w:szCs w:val="20"/>
        </w:rPr>
        <w:t>Ad. 23</w:t>
      </w:r>
    </w:p>
    <w:p w:rsidR="002701C6" w:rsidRPr="002701C6" w:rsidRDefault="002701C6" w:rsidP="002701C6">
      <w:pPr>
        <w:jc w:val="both"/>
        <w:rPr>
          <w:b/>
          <w:bCs/>
          <w:sz w:val="20"/>
          <w:szCs w:val="20"/>
        </w:rPr>
      </w:pPr>
      <w:r w:rsidRPr="002701C6">
        <w:rPr>
          <w:rStyle w:val="Uwydatnienie"/>
          <w:sz w:val="20"/>
          <w:szCs w:val="20"/>
        </w:rPr>
        <w:t xml:space="preserve">Zamawiający dopuszcza rozwiązania równoważne. Szczegółowe propozycje dot. zakończenia gazów medycznych będą akceptowane na etapie kart materiałowych. Zamawiający wymaga by ilości mediów oraz elementów wyposażenia paneli, mostów i kolumn były zgodne z zaproponowanym rozwiązaniem. Dodatkowo zakończenia gazów medycznych wraz z wyposażeniem muszą być wyrobem medycznym klasy </w:t>
      </w:r>
      <w:proofErr w:type="spellStart"/>
      <w:r w:rsidRPr="002701C6">
        <w:rPr>
          <w:rStyle w:val="Uwydatnienie"/>
          <w:sz w:val="20"/>
          <w:szCs w:val="20"/>
        </w:rPr>
        <w:t>IIb</w:t>
      </w:r>
      <w:proofErr w:type="spellEnd"/>
      <w:r w:rsidRPr="002701C6">
        <w:rPr>
          <w:rStyle w:val="Uwydatnienie"/>
          <w:sz w:val="20"/>
          <w:szCs w:val="20"/>
        </w:rPr>
        <w:t xml:space="preserve"> z certyfikatem CE, jak również maja zostać spełnione normy o których mowa poniżej. Na etapie kart materiałowych i innych niż opisane poniżej zamawiający ma prawo żądać do akceptacji przedstawienia wszystkich dokumentów potwierdzających spełnienie norm i przepisów oraz dokonali prezentacji wskazanych do akceptacji modli urządzeń na terenie Zamawiającego.</w:t>
      </w:r>
    </w:p>
    <w:p w:rsidR="002701C6" w:rsidRPr="002701C6" w:rsidRDefault="002701C6" w:rsidP="002701C6">
      <w:pPr>
        <w:keepNext/>
        <w:jc w:val="both"/>
        <w:outlineLvl w:val="5"/>
        <w:rPr>
          <w:rFonts w:eastAsia="Arial Unicode MS"/>
          <w:b/>
          <w:bCs/>
          <w:iCs/>
          <w:sz w:val="20"/>
          <w:szCs w:val="20"/>
        </w:rPr>
      </w:pPr>
      <w:r w:rsidRPr="002701C6">
        <w:rPr>
          <w:b/>
          <w:bCs/>
          <w:iCs/>
          <w:sz w:val="20"/>
          <w:szCs w:val="20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2701C6" w:rsidRPr="002701C6" w:rsidRDefault="002701C6" w:rsidP="002701C6">
      <w:pPr>
        <w:jc w:val="both"/>
        <w:rPr>
          <w:b/>
          <w:sz w:val="20"/>
          <w:szCs w:val="20"/>
        </w:rPr>
      </w:pPr>
      <w:r w:rsidRPr="002701C6">
        <w:rPr>
          <w:b/>
          <w:sz w:val="20"/>
          <w:szCs w:val="20"/>
        </w:rPr>
        <w:t>Zamawiający wymaga zaoferowania urządzeń istniejących na rynku.</w:t>
      </w:r>
    </w:p>
    <w:p w:rsidR="002701C6" w:rsidRPr="002701C6" w:rsidRDefault="002701C6" w:rsidP="002701C6">
      <w:pPr>
        <w:jc w:val="both"/>
        <w:rPr>
          <w:b/>
          <w:sz w:val="20"/>
          <w:szCs w:val="20"/>
        </w:rPr>
      </w:pPr>
      <w:r w:rsidRPr="002701C6">
        <w:rPr>
          <w:b/>
          <w:sz w:val="20"/>
          <w:szCs w:val="20"/>
        </w:rPr>
        <w:t xml:space="preserve">Zamawiający wymaga by karta materiałowa wskazywała w którym miejscu przekazanej dokumentacji znajduje się informacja o spełnieniu wskazanych w SIWZ parametrów ( folder, instrukcja </w:t>
      </w:r>
      <w:proofErr w:type="spellStart"/>
      <w:r w:rsidRPr="002701C6">
        <w:rPr>
          <w:b/>
          <w:sz w:val="20"/>
          <w:szCs w:val="20"/>
        </w:rPr>
        <w:t>itp</w:t>
      </w:r>
      <w:proofErr w:type="spellEnd"/>
      <w:r w:rsidRPr="002701C6">
        <w:rPr>
          <w:b/>
          <w:sz w:val="20"/>
          <w:szCs w:val="20"/>
        </w:rPr>
        <w:t xml:space="preserve">). </w:t>
      </w:r>
    </w:p>
    <w:p w:rsidR="002701C6" w:rsidRPr="002701C6" w:rsidRDefault="002701C6" w:rsidP="002701C6">
      <w:pPr>
        <w:jc w:val="both"/>
        <w:rPr>
          <w:b/>
          <w:sz w:val="20"/>
          <w:szCs w:val="20"/>
        </w:rPr>
      </w:pPr>
      <w:r w:rsidRPr="002701C6">
        <w:rPr>
          <w:b/>
          <w:sz w:val="20"/>
          <w:szCs w:val="20"/>
        </w:rPr>
        <w:t>W sytuacjach wątpliwości co do prawdziwości oferowanych parametrów Zamawiający przyjmuje za prawdziwe dane pochodzące z oficjalnych folderów i katalogów producenta (w postaci drukowanej, zapisie cyfrowym na CD lub pobranych ze stron internetowych producenta).</w:t>
      </w:r>
    </w:p>
    <w:p w:rsidR="002701C6" w:rsidRPr="002701C6" w:rsidRDefault="002701C6" w:rsidP="002701C6">
      <w:pPr>
        <w:jc w:val="both"/>
        <w:rPr>
          <w:b/>
          <w:sz w:val="20"/>
          <w:szCs w:val="20"/>
        </w:rPr>
      </w:pPr>
      <w:r w:rsidRPr="002701C6">
        <w:rPr>
          <w:b/>
          <w:sz w:val="20"/>
          <w:szCs w:val="20"/>
        </w:rPr>
        <w:t xml:space="preserve">Wykonawca zapewni możliwość bezpiecznego montażu kardiomonitora do półki przy panelu medycznym niezależnie od wyboru dostawcy kardiomonitorów. Montaż dokonywany będzie przez śrubunek zgodnie z wytycznymi dot. montażu kardiomonitora. </w:t>
      </w:r>
    </w:p>
    <w:p w:rsidR="002701C6" w:rsidRPr="002701C6" w:rsidRDefault="002701C6" w:rsidP="002701C6">
      <w:pPr>
        <w:jc w:val="both"/>
        <w:rPr>
          <w:b/>
          <w:sz w:val="20"/>
          <w:szCs w:val="20"/>
        </w:rPr>
      </w:pPr>
      <w:r w:rsidRPr="002701C6">
        <w:rPr>
          <w:b/>
          <w:sz w:val="20"/>
          <w:szCs w:val="20"/>
        </w:rPr>
        <w:lastRenderedPageBreak/>
        <w:t xml:space="preserve">Wykonawca przed podpisaniem Umowy z dostawcą zakończeń gazów medycznych dokona korekty długości / wielkości poszczególnych elementów (panele, mosty, kolumny) oraz ich umiejscowienia w celu eliminacji kolizji i ilości mediów. </w:t>
      </w:r>
    </w:p>
    <w:p w:rsidR="002701C6" w:rsidRPr="002701C6" w:rsidRDefault="002701C6" w:rsidP="002701C6">
      <w:pPr>
        <w:jc w:val="both"/>
        <w:rPr>
          <w:b/>
          <w:sz w:val="20"/>
          <w:szCs w:val="20"/>
        </w:rPr>
      </w:pPr>
      <w:r w:rsidRPr="002701C6">
        <w:rPr>
          <w:b/>
          <w:sz w:val="20"/>
          <w:szCs w:val="20"/>
        </w:rPr>
        <w:t xml:space="preserve">Każde stanowisko  wyposażone zostanie w systemu </w:t>
      </w:r>
      <w:proofErr w:type="spellStart"/>
      <w:r w:rsidRPr="002701C6">
        <w:rPr>
          <w:b/>
          <w:sz w:val="20"/>
          <w:szCs w:val="20"/>
        </w:rPr>
        <w:t>przyzywowego</w:t>
      </w:r>
      <w:proofErr w:type="spellEnd"/>
      <w:r w:rsidRPr="002701C6">
        <w:rPr>
          <w:b/>
          <w:sz w:val="20"/>
          <w:szCs w:val="20"/>
        </w:rPr>
        <w:t xml:space="preserve"> zgodnego z projektem wykonawczym. </w:t>
      </w:r>
    </w:p>
    <w:p w:rsidR="002701C6" w:rsidRPr="002701C6" w:rsidRDefault="002701C6" w:rsidP="002701C6">
      <w:pPr>
        <w:jc w:val="both"/>
        <w:rPr>
          <w:b/>
          <w:sz w:val="20"/>
          <w:szCs w:val="20"/>
        </w:rPr>
      </w:pPr>
      <w:r w:rsidRPr="002701C6">
        <w:rPr>
          <w:b/>
          <w:sz w:val="20"/>
          <w:szCs w:val="20"/>
        </w:rPr>
        <w:t xml:space="preserve">Dodatkowo każda kolumna anestezjologiczna wyposażona będzie w windę umożliwiająca podniesienie aparatu do znieczulenia. Zamawiający wymaga by możliwe było zainstalowanie przez dostawcę aparatu do znieczulenia odpowiednich zawiesi umożliwiających montaż i podnoszenie aparatu do znieczulenia poprzez uniwersalne uchwyty. Minimalna udźwig kolumny 250 </w:t>
      </w:r>
      <w:proofErr w:type="spellStart"/>
      <w:r w:rsidRPr="002701C6">
        <w:rPr>
          <w:b/>
          <w:sz w:val="20"/>
          <w:szCs w:val="20"/>
        </w:rPr>
        <w:t>kg</w:t>
      </w:r>
      <w:proofErr w:type="spellEnd"/>
      <w:r w:rsidRPr="002701C6">
        <w:rPr>
          <w:b/>
          <w:sz w:val="20"/>
          <w:szCs w:val="20"/>
        </w:rPr>
        <w:t>.</w:t>
      </w:r>
    </w:p>
    <w:p w:rsidR="002701C6" w:rsidRPr="002701C6" w:rsidRDefault="002701C6">
      <w:pPr>
        <w:rPr>
          <w:b/>
        </w:rPr>
      </w:pP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bookmarkStart w:id="3" w:name="_GoBack"/>
      <w:bookmarkEnd w:id="3"/>
      <w:r>
        <w:rPr>
          <w:sz w:val="20"/>
          <w:szCs w:val="20"/>
        </w:rPr>
        <w:t xml:space="preserve">24. W dokumentacji projektowej przywołano rozwiązania techniczne jak np. Centrala Integracyjne ZEUS która to jest produktem firmy  </w:t>
      </w:r>
      <w:proofErr w:type="spellStart"/>
      <w:r>
        <w:rPr>
          <w:sz w:val="20"/>
          <w:szCs w:val="20"/>
        </w:rPr>
        <w:t>Climatic</w:t>
      </w:r>
      <w:proofErr w:type="spellEnd"/>
      <w:r>
        <w:rPr>
          <w:sz w:val="20"/>
          <w:szCs w:val="20"/>
        </w:rPr>
        <w:t xml:space="preserve"> Sp. z o.o. Sp. k. Czy niniejsza firma brała udział w przygotowaniu niniejszego projektu i postępowania ? Firma ta występowała np. o warunki techniczne na podstawie których była wykonywana dokumentacja czyli uczestniczyła bezpośrednio w procesie projektowym i zostały </w:t>
      </w:r>
      <w:proofErr w:type="spellStart"/>
      <w:r>
        <w:rPr>
          <w:sz w:val="20"/>
          <w:szCs w:val="20"/>
        </w:rPr>
        <w:t>wprojektowane</w:t>
      </w:r>
      <w:proofErr w:type="spellEnd"/>
      <w:r>
        <w:rPr>
          <w:sz w:val="20"/>
          <w:szCs w:val="20"/>
        </w:rPr>
        <w:t xml:space="preserve"> jej produkty  . Proszę o potwierdzenie.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jc w:val="both"/>
        <w:rPr>
          <w:sz w:val="20"/>
          <w:szCs w:val="20"/>
        </w:rPr>
      </w:pPr>
      <w:r>
        <w:rPr>
          <w:b/>
          <w:color w:val="C5000B"/>
          <w:sz w:val="20"/>
          <w:szCs w:val="20"/>
        </w:rPr>
        <w:t xml:space="preserve">Ad.24. Zamawiający wymaga, aby dobrane przez Wykonawcę urządzenia czy rozwiązania techniczne posiadały parametry nie gorsze niż określone w SIWZ. Jeśli w SIWZ zostały przywołane konkretne nazwy produktów , to są one przez Zamawiającego traktowane wyłącznie  jako przykładowe rozwiązania. Wykonawca  ma prawo przedstawić do akceptacji karty materiałowe urządzeń czy rozwiązań dowolnych producentów, których parametry są nie gorsze niż określone w SIWZ. Nie dotyczy to oczywiście systemów, których wskazanie było konieczne aby dokonać integracji lub rozbudowy systemów już działających w szpitalu takich jak np. kontrola dostępu czy system </w:t>
      </w:r>
      <w:proofErr w:type="spellStart"/>
      <w:r>
        <w:rPr>
          <w:b/>
          <w:color w:val="C5000B"/>
          <w:sz w:val="20"/>
          <w:szCs w:val="20"/>
        </w:rPr>
        <w:t>ppoż</w:t>
      </w:r>
      <w:proofErr w:type="spellEnd"/>
      <w:r>
        <w:rPr>
          <w:b/>
          <w:color w:val="C5000B"/>
          <w:sz w:val="20"/>
          <w:szCs w:val="20"/>
        </w:rPr>
        <w:t xml:space="preserve"> i DSO. Możliwość zmiany niektórych  parametrów w stosunku do SIWZ Zamawiający będzie rozpatrywał indywidualnie dla każdego przypadku, w szczególności mając na uwadze zachowanie zasady uczciwej konkurencji. Opracowanie dokumentacji projektowej zostało zlecone przez Zamawiającego na podstawie podpisanej umowy, firmie TEKTURA, Barbara </w:t>
      </w:r>
      <w:proofErr w:type="spellStart"/>
      <w:r>
        <w:rPr>
          <w:b/>
          <w:color w:val="C5000B"/>
          <w:sz w:val="20"/>
          <w:szCs w:val="20"/>
        </w:rPr>
        <w:t>Kozielewska</w:t>
      </w:r>
      <w:proofErr w:type="spellEnd"/>
      <w:r>
        <w:rPr>
          <w:b/>
          <w:color w:val="C5000B"/>
          <w:sz w:val="20"/>
          <w:szCs w:val="20"/>
        </w:rPr>
        <w:t xml:space="preserve"> Al. Ujazdowskie 22/1, 00-478 Warszawa. Zamawiający nie posiada wiadomości na temat firm czy też osób, z którymi Pracownia Projektowa współpracowała na etapie tworzenia dokumentacji.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25. Czy Zamawiający posiada decyzję dotyczącą wycinki drzew wskazanych w dokumentacji ? Czy niniejsza decyzja została opłacona</w:t>
      </w: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236F8" w:rsidRDefault="00BB0D9C">
      <w:pPr>
        <w:rPr>
          <w:sz w:val="20"/>
          <w:szCs w:val="20"/>
        </w:rPr>
      </w:pPr>
      <w:r>
        <w:rPr>
          <w:b/>
          <w:color w:val="C5000B"/>
          <w:sz w:val="20"/>
          <w:szCs w:val="20"/>
        </w:rPr>
        <w:t xml:space="preserve">Ad.25. Zamawiający nie posiada na chwilę obecną decyzji dotyczącej wycinki drzew. Koszty związane z decyzją obciążają Zamawiającego. </w:t>
      </w: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Rafał Nowak</w:t>
      </w:r>
    </w:p>
    <w:sectPr w:rsidR="007236F8" w:rsidSect="007236F8">
      <w:pgSz w:w="11906" w:h="16838"/>
      <w:pgMar w:top="2279" w:right="1418" w:bottom="1418" w:left="1418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5111"/>
    <w:multiLevelType w:val="multilevel"/>
    <w:tmpl w:val="7512C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5B52DB"/>
    <w:multiLevelType w:val="multilevel"/>
    <w:tmpl w:val="E1062572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2">
    <w:nsid w:val="70512F97"/>
    <w:multiLevelType w:val="multilevel"/>
    <w:tmpl w:val="E362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>
    <w:useFELayout/>
  </w:compat>
  <w:rsids>
    <w:rsidRoot w:val="007236F8"/>
    <w:rsid w:val="000E5F5C"/>
    <w:rsid w:val="002701C6"/>
    <w:rsid w:val="00362CF0"/>
    <w:rsid w:val="00374E9C"/>
    <w:rsid w:val="004D6B89"/>
    <w:rsid w:val="00713CA2"/>
    <w:rsid w:val="007236F8"/>
    <w:rsid w:val="007D6D6D"/>
    <w:rsid w:val="00BB0D9C"/>
    <w:rsid w:val="00DC6BE9"/>
    <w:rsid w:val="00DD53B5"/>
    <w:rsid w:val="00DD631F"/>
    <w:rsid w:val="00FB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6F8"/>
    <w:pPr>
      <w:suppressAutoHyphens/>
    </w:pPr>
    <w:rPr>
      <w:rFonts w:ascii="Arial" w:eastAsia="Times New Roman" w:hAnsi="Arial" w:cs="Arial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7236F8"/>
  </w:style>
  <w:style w:type="character" w:customStyle="1" w:styleId="TekstdymkaZnak">
    <w:name w:val="Tekst dymka Znak"/>
    <w:qFormat/>
    <w:rsid w:val="007236F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qFormat/>
    <w:rsid w:val="007236F8"/>
    <w:rPr>
      <w:rFonts w:ascii="Arial" w:hAnsi="Arial" w:cs="Arial"/>
    </w:rPr>
  </w:style>
  <w:style w:type="character" w:styleId="Odwoanieprzypisukocowego">
    <w:name w:val="endnote reference"/>
    <w:qFormat/>
    <w:rsid w:val="007236F8"/>
    <w:rPr>
      <w:vertAlign w:val="superscript"/>
    </w:rPr>
  </w:style>
  <w:style w:type="character" w:customStyle="1" w:styleId="czeinternetowe">
    <w:name w:val="Łącze internetowe"/>
    <w:rsid w:val="007236F8"/>
    <w:rPr>
      <w:color w:val="0000FF"/>
      <w:u w:val="single"/>
    </w:rPr>
  </w:style>
  <w:style w:type="character" w:customStyle="1" w:styleId="UnresolvedMention">
    <w:name w:val="Unresolved Mention"/>
    <w:qFormat/>
    <w:rsid w:val="007236F8"/>
    <w:rPr>
      <w:color w:val="808080"/>
    </w:rPr>
  </w:style>
  <w:style w:type="character" w:customStyle="1" w:styleId="Znakinumeracji">
    <w:name w:val="Znaki numeracji"/>
    <w:qFormat/>
    <w:rsid w:val="007236F8"/>
  </w:style>
  <w:style w:type="character" w:customStyle="1" w:styleId="ListLabel360">
    <w:name w:val="ListLabel 360"/>
    <w:qFormat/>
    <w:rsid w:val="007236F8"/>
    <w:rPr>
      <w:rFonts w:ascii="Calibri" w:hAnsi="Calibri" w:cs="OpenSymbol"/>
      <w:sz w:val="22"/>
    </w:rPr>
  </w:style>
  <w:style w:type="character" w:customStyle="1" w:styleId="ListLabel361">
    <w:name w:val="ListLabel 361"/>
    <w:qFormat/>
    <w:rsid w:val="007236F8"/>
    <w:rPr>
      <w:rFonts w:cs="OpenSymbol"/>
    </w:rPr>
  </w:style>
  <w:style w:type="character" w:customStyle="1" w:styleId="ListLabel362">
    <w:name w:val="ListLabel 362"/>
    <w:qFormat/>
    <w:rsid w:val="007236F8"/>
    <w:rPr>
      <w:rFonts w:cs="OpenSymbol"/>
    </w:rPr>
  </w:style>
  <w:style w:type="character" w:customStyle="1" w:styleId="ListLabel363">
    <w:name w:val="ListLabel 363"/>
    <w:qFormat/>
    <w:rsid w:val="007236F8"/>
    <w:rPr>
      <w:rFonts w:cs="OpenSymbol"/>
    </w:rPr>
  </w:style>
  <w:style w:type="character" w:customStyle="1" w:styleId="ListLabel364">
    <w:name w:val="ListLabel 364"/>
    <w:qFormat/>
    <w:rsid w:val="007236F8"/>
    <w:rPr>
      <w:rFonts w:cs="OpenSymbol"/>
    </w:rPr>
  </w:style>
  <w:style w:type="character" w:customStyle="1" w:styleId="ListLabel365">
    <w:name w:val="ListLabel 365"/>
    <w:qFormat/>
    <w:rsid w:val="007236F8"/>
    <w:rPr>
      <w:rFonts w:cs="OpenSymbol"/>
    </w:rPr>
  </w:style>
  <w:style w:type="character" w:customStyle="1" w:styleId="ListLabel366">
    <w:name w:val="ListLabel 366"/>
    <w:qFormat/>
    <w:rsid w:val="007236F8"/>
    <w:rPr>
      <w:rFonts w:cs="OpenSymbol"/>
    </w:rPr>
  </w:style>
  <w:style w:type="character" w:customStyle="1" w:styleId="ListLabel367">
    <w:name w:val="ListLabel 367"/>
    <w:qFormat/>
    <w:rsid w:val="007236F8"/>
    <w:rPr>
      <w:rFonts w:cs="OpenSymbol"/>
    </w:rPr>
  </w:style>
  <w:style w:type="character" w:customStyle="1" w:styleId="ListLabel368">
    <w:name w:val="ListLabel 368"/>
    <w:qFormat/>
    <w:rsid w:val="007236F8"/>
    <w:rPr>
      <w:rFonts w:cs="OpenSymbol"/>
    </w:rPr>
  </w:style>
  <w:style w:type="paragraph" w:styleId="Nagwek">
    <w:name w:val="header"/>
    <w:basedOn w:val="Normalny"/>
    <w:next w:val="Tekstpodstawowy"/>
    <w:qFormat/>
    <w:rsid w:val="007236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236F8"/>
    <w:pPr>
      <w:spacing w:after="120"/>
    </w:pPr>
  </w:style>
  <w:style w:type="paragraph" w:styleId="Lista">
    <w:name w:val="List"/>
    <w:basedOn w:val="Tekstpodstawowy"/>
    <w:rsid w:val="007236F8"/>
  </w:style>
  <w:style w:type="paragraph" w:customStyle="1" w:styleId="Caption">
    <w:name w:val="Caption"/>
    <w:basedOn w:val="Normalny"/>
    <w:qFormat/>
    <w:rsid w:val="007236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236F8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7236F8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qFormat/>
    <w:rsid w:val="007236F8"/>
    <w:pPr>
      <w:suppressLineNumbers/>
      <w:spacing w:before="120" w:after="120"/>
    </w:pPr>
    <w:rPr>
      <w:i/>
      <w:iCs/>
    </w:rPr>
  </w:style>
  <w:style w:type="paragraph" w:customStyle="1" w:styleId="Header">
    <w:name w:val="Header"/>
    <w:basedOn w:val="Normalny"/>
    <w:rsid w:val="007236F8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7236F8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7236F8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236F8"/>
    <w:pPr>
      <w:suppressAutoHyphens/>
    </w:pPr>
    <w:rPr>
      <w:rFonts w:ascii="Arial" w:eastAsia="Times New Roman" w:hAnsi="Arial"/>
      <w:sz w:val="22"/>
      <w:szCs w:val="22"/>
      <w:lang w:bidi="ar-SA"/>
    </w:rPr>
  </w:style>
  <w:style w:type="paragraph" w:styleId="Tekstprzypisukocowego">
    <w:name w:val="endnote text"/>
    <w:basedOn w:val="Normalny"/>
    <w:qFormat/>
    <w:rsid w:val="007236F8"/>
    <w:rPr>
      <w:sz w:val="20"/>
      <w:szCs w:val="20"/>
    </w:rPr>
  </w:style>
  <w:style w:type="paragraph" w:styleId="Tekstpodstawowywcity">
    <w:name w:val="Body Text Indent"/>
    <w:basedOn w:val="Normalny"/>
    <w:rsid w:val="007236F8"/>
    <w:pPr>
      <w:spacing w:after="120"/>
      <w:ind w:left="283"/>
    </w:pPr>
  </w:style>
  <w:style w:type="character" w:styleId="Uwydatnienie">
    <w:name w:val="Emphasis"/>
    <w:qFormat/>
    <w:rsid w:val="002701C6"/>
    <w:rPr>
      <w:b/>
      <w:bCs/>
      <w:i w:val="0"/>
      <w:i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53B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53B5"/>
    <w:rPr>
      <w:rFonts w:ascii="Times New Roman" w:eastAsia="Times New Roman" w:hAnsi="Times New Roman" w:cs="Times New Roman"/>
      <w:sz w:val="24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F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F5C"/>
    <w:rPr>
      <w:rFonts w:ascii="Arial" w:eastAsia="Times New Roman" w:hAnsi="Arial" w:cs="Arial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2458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apoludniewska</dc:creator>
  <cp:lastModifiedBy>user</cp:lastModifiedBy>
  <cp:revision>2</cp:revision>
  <cp:lastPrinted>2016-10-24T08:35:00Z</cp:lastPrinted>
  <dcterms:created xsi:type="dcterms:W3CDTF">2018-01-25T13:34:00Z</dcterms:created>
  <dcterms:modified xsi:type="dcterms:W3CDTF">2018-01-25T13:34:00Z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