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9" w:rsidRPr="00002916" w:rsidRDefault="007C47F6">
      <w:pPr>
        <w:numPr>
          <w:ilvl w:val="0"/>
          <w:numId w:val="1"/>
        </w:numPr>
        <w:tabs>
          <w:tab w:val="clear" w:pos="360"/>
          <w:tab w:val="decimal" w:pos="792"/>
        </w:tabs>
        <w:spacing w:before="324"/>
        <w:ind w:left="792" w:right="648" w:hanging="360"/>
        <w:jc w:val="both"/>
        <w:rPr>
          <w:rFonts w:ascii="Times New Roman" w:hAnsi="Times New Roman"/>
          <w:b/>
          <w:color w:val="000000"/>
          <w:spacing w:val="2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u w:val="single"/>
          <w:lang w:val="pl-PL"/>
        </w:rPr>
        <w:t xml:space="preserve">Dlaczego Zamawiający wskazuje konkretnego dostawcę sprzętu po przez  </w:t>
      </w:r>
      <w:r>
        <w:rPr>
          <w:rFonts w:ascii="Times New Roman" w:hAnsi="Times New Roman"/>
          <w:b/>
          <w:color w:val="000000"/>
          <w:spacing w:val="9"/>
          <w:sz w:val="23"/>
          <w:u w:val="single"/>
          <w:lang w:val="pl-PL"/>
        </w:rPr>
        <w:t xml:space="preserve">używanie nazw własnych i konkretnego producenta ? " </w:t>
      </w:r>
      <w:r>
        <w:rPr>
          <w:rFonts w:ascii="Times New Roman" w:hAnsi="Times New Roman"/>
          <w:color w:val="000000"/>
          <w:spacing w:val="9"/>
          <w:sz w:val="24"/>
          <w:u w:val="single"/>
          <w:lang w:val="pl-PL"/>
        </w:rPr>
        <w:t xml:space="preserve">Przedmiotem  </w:t>
      </w:r>
      <w:r>
        <w:rPr>
          <w:rFonts w:ascii="Times New Roman" w:hAnsi="Times New Roman"/>
          <w:color w:val="000000"/>
          <w:spacing w:val="-3"/>
          <w:sz w:val="24"/>
          <w:u w:val="single"/>
          <w:lang w:val="pl-PL"/>
        </w:rPr>
        <w:t xml:space="preserve">projektu jest poczta pneumatyczna o średnicy 0 110 mm np. typu </w:t>
      </w:r>
      <w:proofErr w:type="spellStart"/>
      <w:r>
        <w:rPr>
          <w:rFonts w:ascii="Times New Roman" w:hAnsi="Times New Roman"/>
          <w:color w:val="000000"/>
          <w:spacing w:val="-3"/>
          <w:sz w:val="24"/>
          <w:u w:val="single"/>
          <w:lang w:val="pl-PL"/>
        </w:rPr>
        <w:t>Air-Control</w:t>
      </w:r>
      <w:proofErr w:type="spellEnd"/>
      <w:r>
        <w:rPr>
          <w:rFonts w:ascii="Times New Roman" w:hAnsi="Times New Roman"/>
          <w:color w:val="000000"/>
          <w:spacing w:val="-3"/>
          <w:sz w:val="24"/>
          <w:u w:val="single"/>
          <w:lang w:val="pl-PL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u w:val="single"/>
          <w:lang w:val="pl-PL"/>
        </w:rPr>
        <w:t xml:space="preserve">przeznaczona do transportu próbek materiału biologicznego, dokumentacji  medycznej, drobnego sprzętu, etc. „i „ Instalacja będzie posiadać ogółem 4  </w:t>
      </w:r>
      <w:r>
        <w:rPr>
          <w:rFonts w:ascii="Times New Roman" w:hAnsi="Times New Roman"/>
          <w:color w:val="000000"/>
          <w:spacing w:val="-1"/>
          <w:sz w:val="24"/>
          <w:u w:val="single"/>
          <w:lang w:val="pl-PL"/>
        </w:rPr>
        <w:t xml:space="preserve">stacje, w tym 3 stacje nadawczo-odbiorcze przelotowe (np. AIR-LOG) oraz 1  </w:t>
      </w:r>
      <w:r>
        <w:rPr>
          <w:rFonts w:ascii="Times New Roman" w:hAnsi="Times New Roman"/>
          <w:color w:val="000000"/>
          <w:spacing w:val="2"/>
          <w:sz w:val="24"/>
          <w:u w:val="single"/>
          <w:lang w:val="pl-PL"/>
        </w:rPr>
        <w:t xml:space="preserve">stację nadawczo-odbiorczą w Laboratorium wraz ze stołem odbiorczym na </w:t>
      </w:r>
      <w:r>
        <w:rPr>
          <w:rFonts w:ascii="Times New Roman" w:hAnsi="Times New Roman"/>
          <w:color w:val="000000"/>
          <w:spacing w:val="1"/>
          <w:sz w:val="24"/>
          <w:u w:val="single"/>
          <w:lang w:val="pl-PL"/>
        </w:rPr>
        <w:t xml:space="preserve">pojemniki (np. </w:t>
      </w:r>
      <w:r>
        <w:rPr>
          <w:rFonts w:ascii="Times New Roman" w:hAnsi="Times New Roman"/>
          <w:b/>
          <w:color w:val="000000"/>
          <w:spacing w:val="1"/>
          <w:sz w:val="23"/>
          <w:u w:val="single"/>
          <w:lang w:val="pl-PL"/>
        </w:rPr>
        <w:t xml:space="preserve">AIR-LOG).Wnosimy o usunięcia nazw własnych ponieważ 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  <w:t xml:space="preserve">wskazuje to na skierowanie zakresu postawania przetargowego na jednego  </w:t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 xml:space="preserve">dostawcę. </w:t>
      </w:r>
    </w:p>
    <w:p w:rsidR="00002916" w:rsidRDefault="00002916" w:rsidP="00002916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002916">
        <w:rPr>
          <w:rFonts w:ascii="Times New Roman" w:hAnsi="Times New Roman"/>
          <w:b/>
          <w:color w:val="FF0000"/>
          <w:sz w:val="23"/>
          <w:lang w:val="pl-PL"/>
        </w:rPr>
        <w:t xml:space="preserve">Ad.1. W opisie systemu podano przykład, rozwiązania. Zamawiający nie ogranicza zasad uczciwej konkurencji </w:t>
      </w:r>
      <w:r>
        <w:rPr>
          <w:rFonts w:ascii="Times New Roman" w:hAnsi="Times New Roman"/>
          <w:b/>
          <w:color w:val="FF0000"/>
          <w:sz w:val="23"/>
          <w:lang w:val="pl-PL"/>
        </w:rPr>
        <w:t>i nie wymaga zastosowania przez Wykonawcę przykładowo wskazanego systemu. Wykonawca może zastosować urządzenia dowolnego producenta, które spełniają wymagania dla systemu poczty pneumatycznej opisanej w SIWZ. Ostateczna akceptacja i weryfikacja parametrów zgodnie z SIWZ następuje na etapie akceptacji przez Zamawiającego kart materiałowych.</w:t>
      </w:r>
    </w:p>
    <w:p w:rsidR="00002916" w:rsidRPr="00002916" w:rsidRDefault="00002916" w:rsidP="00002916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pacing w:val="2"/>
          <w:sz w:val="23"/>
          <w:lang w:val="pl-PL"/>
        </w:rPr>
      </w:pPr>
    </w:p>
    <w:p w:rsidR="007D7079" w:rsidRPr="00002916" w:rsidRDefault="007C47F6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right="648" w:hanging="360"/>
        <w:jc w:val="both"/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  <w:t xml:space="preserve">Proszę o podanie konkretnego opisu stacji w LABORATORIUM : </w:t>
      </w:r>
      <w:r>
        <w:rPr>
          <w:rFonts w:ascii="Times New Roman" w:hAnsi="Times New Roman"/>
          <w:color w:val="000000"/>
          <w:spacing w:val="-1"/>
          <w:sz w:val="24"/>
          <w:u w:val="single"/>
          <w:lang w:val="pl-PL"/>
        </w:rPr>
        <w:t xml:space="preserve">„1 stację  </w:t>
      </w:r>
      <w:r>
        <w:rPr>
          <w:rFonts w:ascii="Times New Roman" w:hAnsi="Times New Roman"/>
          <w:color w:val="000000"/>
          <w:spacing w:val="-3"/>
          <w:sz w:val="24"/>
          <w:u w:val="single"/>
          <w:lang w:val="pl-PL"/>
        </w:rPr>
        <w:t xml:space="preserve">nadawczo-odbiorczą w Laboratorium wraz ze stołem odbiorczym na pojemniki"  </w:t>
      </w:r>
      <w:r>
        <w:rPr>
          <w:rFonts w:ascii="Times New Roman" w:hAnsi="Times New Roman"/>
          <w:color w:val="000000"/>
          <w:spacing w:val="3"/>
          <w:sz w:val="24"/>
          <w:u w:val="single"/>
          <w:lang w:val="pl-PL"/>
        </w:rPr>
        <w:t xml:space="preserve">Czy stacja mam mieć stół czy element łagodnie odbierający większą ilość </w:t>
      </w:r>
      <w:r>
        <w:rPr>
          <w:rFonts w:ascii="Times New Roman" w:hAnsi="Times New Roman"/>
          <w:color w:val="000000"/>
          <w:spacing w:val="13"/>
          <w:sz w:val="24"/>
          <w:u w:val="single"/>
          <w:lang w:val="pl-PL"/>
        </w:rPr>
        <w:t xml:space="preserve">pojemników z doprowadzaniem na poziom odbiorczy (poziom blatu </w:t>
      </w:r>
      <w:r>
        <w:rPr>
          <w:rFonts w:ascii="Times New Roman" w:hAnsi="Times New Roman"/>
          <w:color w:val="000000"/>
          <w:sz w:val="24"/>
          <w:u w:val="single"/>
          <w:lang w:val="pl-PL"/>
        </w:rPr>
        <w:t xml:space="preserve">operatorskiego w laboratoriom. </w:t>
      </w:r>
    </w:p>
    <w:p w:rsidR="00002916" w:rsidRDefault="00002916" w:rsidP="00002916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002916">
        <w:rPr>
          <w:rFonts w:ascii="Times New Roman" w:hAnsi="Times New Roman"/>
          <w:b/>
          <w:color w:val="FF0000"/>
          <w:sz w:val="23"/>
          <w:lang w:val="pl-PL"/>
        </w:rPr>
        <w:t>Ad.</w:t>
      </w:r>
      <w:r>
        <w:rPr>
          <w:rFonts w:ascii="Times New Roman" w:hAnsi="Times New Roman"/>
          <w:b/>
          <w:color w:val="FF0000"/>
          <w:sz w:val="23"/>
          <w:lang w:val="pl-PL"/>
        </w:rPr>
        <w:t>2</w:t>
      </w:r>
      <w:r w:rsidRPr="00002916">
        <w:rPr>
          <w:rFonts w:ascii="Times New Roman" w:hAnsi="Times New Roman"/>
          <w:b/>
          <w:color w:val="FF0000"/>
          <w:sz w:val="23"/>
          <w:lang w:val="pl-PL"/>
        </w:rPr>
        <w:t xml:space="preserve">. </w:t>
      </w:r>
      <w:r>
        <w:rPr>
          <w:rFonts w:ascii="Times New Roman" w:hAnsi="Times New Roman"/>
          <w:b/>
          <w:color w:val="FF0000"/>
          <w:sz w:val="23"/>
          <w:lang w:val="pl-PL"/>
        </w:rPr>
        <w:t xml:space="preserve">Zamawiający dopuszcza oba rozwiązania. </w:t>
      </w:r>
    </w:p>
    <w:p w:rsidR="00002916" w:rsidRDefault="00002916" w:rsidP="00002916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</w:pPr>
    </w:p>
    <w:p w:rsidR="007D7079" w:rsidRDefault="007C47F6">
      <w:pPr>
        <w:numPr>
          <w:ilvl w:val="0"/>
          <w:numId w:val="1"/>
        </w:numPr>
        <w:tabs>
          <w:tab w:val="clear" w:pos="360"/>
          <w:tab w:val="decimal" w:pos="792"/>
        </w:tabs>
        <w:ind w:left="792" w:right="648" w:hanging="360"/>
        <w:jc w:val="both"/>
        <w:rPr>
          <w:rFonts w:ascii="Times New Roman" w:hAnsi="Times New Roman"/>
          <w:b/>
          <w:color w:val="000000"/>
          <w:spacing w:val="14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14"/>
          <w:sz w:val="23"/>
          <w:u w:val="single"/>
          <w:lang w:val="pl-PL"/>
        </w:rPr>
        <w:t xml:space="preserve">W jakiej ilości Zamawiający wymaga dostarczenia sygnalizatorów </w:t>
      </w:r>
      <w:r>
        <w:rPr>
          <w:rFonts w:ascii="Times New Roman" w:hAnsi="Times New Roman"/>
          <w:b/>
          <w:color w:val="000000"/>
          <w:spacing w:val="8"/>
          <w:sz w:val="23"/>
          <w:u w:val="single"/>
          <w:lang w:val="pl-PL"/>
        </w:rPr>
        <w:t xml:space="preserve">nadejścia przesyłki, proszę o podanie lokalizacji sygnalizatorów i czy  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pl-PL"/>
        </w:rPr>
        <w:t xml:space="preserve">zamawiający potwierdza odległość 5m od stacji jako odległość maksymalną </w:t>
      </w:r>
      <w:r>
        <w:rPr>
          <w:rFonts w:ascii="Times New Roman" w:hAnsi="Times New Roman"/>
          <w:color w:val="000000"/>
          <w:spacing w:val="-1"/>
          <w:sz w:val="24"/>
          <w:u w:val="single"/>
          <w:lang w:val="pl-PL"/>
        </w:rPr>
        <w:t xml:space="preserve">„Przewodowe sygnalizatory nadejścia przesyłki powinny działać na odległość do 5 m od stacji i posiadać funkcję zdalnego kasowania przyciskiem sygnału </w:t>
      </w:r>
      <w:r>
        <w:rPr>
          <w:rFonts w:ascii="Times New Roman" w:hAnsi="Times New Roman"/>
          <w:color w:val="000000"/>
          <w:sz w:val="24"/>
          <w:u w:val="single"/>
          <w:lang w:val="pl-PL"/>
        </w:rPr>
        <w:t>nadejścia, tj. kasowania"</w:t>
      </w:r>
    </w:p>
    <w:p w:rsidR="007D7079" w:rsidRPr="00462DB4" w:rsidRDefault="007D7079">
      <w:pPr>
        <w:rPr>
          <w:lang w:val="pl-PL"/>
        </w:rPr>
      </w:pPr>
    </w:p>
    <w:p w:rsidR="007926AE" w:rsidRPr="00462DB4" w:rsidRDefault="007926AE">
      <w:pPr>
        <w:rPr>
          <w:lang w:val="pl-PL"/>
        </w:rPr>
      </w:pPr>
    </w:p>
    <w:p w:rsidR="007926AE" w:rsidRDefault="007926AE" w:rsidP="007926AE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002916">
        <w:rPr>
          <w:rFonts w:ascii="Times New Roman" w:hAnsi="Times New Roman"/>
          <w:b/>
          <w:color w:val="FF0000"/>
          <w:sz w:val="23"/>
          <w:lang w:val="pl-PL"/>
        </w:rPr>
        <w:t>Ad.</w:t>
      </w:r>
      <w:r>
        <w:rPr>
          <w:rFonts w:ascii="Times New Roman" w:hAnsi="Times New Roman"/>
          <w:b/>
          <w:color w:val="FF0000"/>
          <w:sz w:val="23"/>
          <w:lang w:val="pl-PL"/>
        </w:rPr>
        <w:t>3</w:t>
      </w:r>
      <w:r w:rsidRPr="00002916">
        <w:rPr>
          <w:rFonts w:ascii="Times New Roman" w:hAnsi="Times New Roman"/>
          <w:b/>
          <w:color w:val="FF0000"/>
          <w:sz w:val="23"/>
          <w:lang w:val="pl-PL"/>
        </w:rPr>
        <w:t xml:space="preserve">. </w:t>
      </w:r>
      <w:r>
        <w:rPr>
          <w:rFonts w:ascii="Times New Roman" w:hAnsi="Times New Roman"/>
          <w:b/>
          <w:color w:val="FF0000"/>
          <w:sz w:val="23"/>
          <w:lang w:val="pl-PL"/>
        </w:rPr>
        <w:t>Zamawiający wymaga dostarczenia sygnalizatorów nadejścia przesyłki w ilości 4 sztuk (po jednym dla każdej stacji) . Z uwagi na fakt, iż są to sygnalizatory przewodowe należy przyjąć, iż powinny one działać na odległość do 30 m. Szczegółowa lokalizacja sygnalizatorów zostanie określona na etapie wykonawstwa, i nie rzutuje to na możliwości wyceny systemu na etapie składania oferty.</w:t>
      </w:r>
    </w:p>
    <w:p w:rsidR="007926AE" w:rsidRPr="00462DB4" w:rsidRDefault="007926AE">
      <w:pPr>
        <w:rPr>
          <w:lang w:val="pl-PL"/>
        </w:rPr>
      </w:pPr>
    </w:p>
    <w:p w:rsidR="007926AE" w:rsidRPr="00462DB4" w:rsidRDefault="007926AE" w:rsidP="007926AE">
      <w:pPr>
        <w:rPr>
          <w:lang w:val="pl-PL"/>
        </w:rPr>
      </w:pPr>
    </w:p>
    <w:p w:rsidR="007D7079" w:rsidRPr="007926AE" w:rsidRDefault="007C47F6">
      <w:pPr>
        <w:numPr>
          <w:ilvl w:val="0"/>
          <w:numId w:val="2"/>
        </w:numPr>
        <w:tabs>
          <w:tab w:val="clear" w:pos="360"/>
          <w:tab w:val="decimal" w:pos="576"/>
          <w:tab w:val="left" w:pos="1880"/>
          <w:tab w:val="left" w:pos="3680"/>
          <w:tab w:val="left" w:pos="5322"/>
          <w:tab w:val="left" w:pos="6791"/>
        </w:tabs>
        <w:spacing w:before="108"/>
        <w:ind w:left="576" w:right="864" w:hanging="360"/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23"/>
          <w:u w:val="single"/>
          <w:lang w:val="pl-PL"/>
        </w:rPr>
        <w:t xml:space="preserve">Czy Zamawiający wymaga dostawy pojemników transportowych dających  </w:t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>pewność</w:t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ab/>
        <w:t>bezpiecznego</w:t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ab/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pl-PL"/>
        </w:rPr>
        <w:t>przesyłania</w:t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>materiału</w:t>
      </w:r>
      <w:r>
        <w:rPr>
          <w:rFonts w:ascii="Times New Roman" w:hAnsi="Times New Roman"/>
          <w:b/>
          <w:color w:val="000000"/>
          <w:sz w:val="23"/>
          <w:u w:val="single"/>
          <w:lang w:val="pl-PL"/>
        </w:rPr>
        <w:tab/>
      </w:r>
      <w:r>
        <w:rPr>
          <w:rFonts w:ascii="Times New Roman" w:hAnsi="Times New Roman"/>
          <w:b/>
          <w:color w:val="000000"/>
          <w:spacing w:val="-5"/>
          <w:sz w:val="23"/>
          <w:u w:val="single"/>
          <w:lang w:val="pl-PL"/>
        </w:rPr>
        <w:t xml:space="preserve">biologicznego?  </w:t>
      </w:r>
      <w:r>
        <w:rPr>
          <w:rFonts w:ascii="Times New Roman" w:hAnsi="Times New Roman"/>
          <w:b/>
          <w:color w:val="000000"/>
          <w:spacing w:val="-5"/>
          <w:sz w:val="23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8"/>
          <w:sz w:val="23"/>
          <w:u w:val="single"/>
          <w:lang w:val="pl-PL"/>
        </w:rPr>
        <w:lastRenderedPageBreak/>
        <w:t xml:space="preserve">Bezpieczeństwo przesyłek to szczelny pojemniki gwarantujący braku  </w:t>
      </w:r>
      <w:r>
        <w:rPr>
          <w:rFonts w:ascii="Times New Roman" w:hAnsi="Times New Roman"/>
          <w:b/>
          <w:color w:val="000000"/>
          <w:spacing w:val="2"/>
          <w:sz w:val="23"/>
          <w:u w:val="single"/>
          <w:lang w:val="pl-PL"/>
        </w:rPr>
        <w:t xml:space="preserve">możliwości skażania rurociągu i całego szpitala. Pojemniki uniwersalne nie </w:t>
      </w:r>
      <w:r>
        <w:rPr>
          <w:rFonts w:ascii="Times New Roman" w:hAnsi="Times New Roman"/>
          <w:b/>
          <w:color w:val="000000"/>
          <w:spacing w:val="-3"/>
          <w:sz w:val="23"/>
          <w:u w:val="single"/>
          <w:lang w:val="pl-PL"/>
        </w:rPr>
        <w:t xml:space="preserve">dają takiego bezpieczeństwa. </w:t>
      </w:r>
    </w:p>
    <w:p w:rsidR="007926AE" w:rsidRDefault="007926AE" w:rsidP="007926AE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7926AE">
        <w:rPr>
          <w:rFonts w:ascii="Times New Roman" w:hAnsi="Times New Roman"/>
          <w:b/>
          <w:color w:val="FF0000"/>
          <w:sz w:val="23"/>
          <w:lang w:val="pl-PL"/>
        </w:rPr>
        <w:t>Ad.</w:t>
      </w:r>
      <w:r>
        <w:rPr>
          <w:rFonts w:ascii="Times New Roman" w:hAnsi="Times New Roman"/>
          <w:b/>
          <w:color w:val="FF0000"/>
          <w:sz w:val="23"/>
          <w:lang w:val="pl-PL"/>
        </w:rPr>
        <w:t>4</w:t>
      </w:r>
      <w:r w:rsidRPr="007926AE">
        <w:rPr>
          <w:rFonts w:ascii="Times New Roman" w:hAnsi="Times New Roman"/>
          <w:b/>
          <w:color w:val="FF0000"/>
          <w:sz w:val="23"/>
          <w:lang w:val="pl-PL"/>
        </w:rPr>
        <w:t>. Z</w:t>
      </w:r>
      <w:r>
        <w:rPr>
          <w:rFonts w:ascii="Times New Roman" w:hAnsi="Times New Roman"/>
          <w:b/>
          <w:color w:val="FF0000"/>
          <w:sz w:val="23"/>
          <w:lang w:val="pl-PL"/>
        </w:rPr>
        <w:t>godnie z opisem systemu Zamawiający wymaga dostarczenia 15 sztuk pojemników standardowych oraz 8 sztuk pojemników hermetycznych</w:t>
      </w:r>
      <w:r w:rsidR="00611B0A">
        <w:rPr>
          <w:rFonts w:ascii="Times New Roman" w:hAnsi="Times New Roman"/>
          <w:b/>
          <w:color w:val="FF0000"/>
          <w:sz w:val="23"/>
          <w:lang w:val="pl-PL"/>
        </w:rPr>
        <w:t>. Pojemniki hermetyczne powinny dawać pewność bezpiecznego przesyłania materiału biologicznego.</w:t>
      </w:r>
    </w:p>
    <w:p w:rsidR="007926AE" w:rsidRPr="007926AE" w:rsidRDefault="007926AE" w:rsidP="007926AE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</w:p>
    <w:p w:rsidR="00611B0A" w:rsidRDefault="007C47F6" w:rsidP="00611B0A">
      <w:pPr>
        <w:numPr>
          <w:ilvl w:val="0"/>
          <w:numId w:val="2"/>
        </w:numPr>
        <w:tabs>
          <w:tab w:val="clear" w:pos="360"/>
          <w:tab w:val="decimal" w:pos="576"/>
        </w:tabs>
        <w:spacing w:before="36"/>
        <w:ind w:left="576" w:right="864" w:hanging="360"/>
        <w:jc w:val="both"/>
        <w:rPr>
          <w:rFonts w:ascii="Times New Roman" w:hAnsi="Times New Roman"/>
          <w:b/>
          <w:color w:val="000000"/>
          <w:spacing w:val="8"/>
          <w:sz w:val="23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8"/>
          <w:sz w:val="23"/>
          <w:u w:val="single"/>
          <w:lang w:val="pl-PL"/>
        </w:rPr>
        <w:t xml:space="preserve">Czy Zamawiający zmieni ilości pojemników? </w:t>
      </w:r>
      <w:r>
        <w:rPr>
          <w:rFonts w:ascii="Times New Roman" w:hAnsi="Times New Roman"/>
          <w:color w:val="000000"/>
          <w:spacing w:val="8"/>
          <w:sz w:val="23"/>
          <w:u w:val="single"/>
          <w:lang w:val="pl-PL"/>
        </w:rPr>
        <w:t xml:space="preserve">"pojemniki hermetyczne,  </w:t>
      </w:r>
      <w:r>
        <w:rPr>
          <w:rFonts w:ascii="Times New Roman" w:hAnsi="Times New Roman"/>
          <w:color w:val="000000"/>
          <w:spacing w:val="7"/>
          <w:sz w:val="23"/>
          <w:u w:val="single"/>
          <w:lang w:val="pl-PL"/>
        </w:rPr>
        <w:t xml:space="preserve">zapewniające pełną wodoszczelność, wyposażone w jednostronne, pewne  </w:t>
      </w:r>
      <w:r>
        <w:rPr>
          <w:rFonts w:ascii="Times New Roman" w:hAnsi="Times New Roman"/>
          <w:color w:val="000000"/>
          <w:spacing w:val="2"/>
          <w:sz w:val="23"/>
          <w:u w:val="single"/>
          <w:lang w:val="pl-PL"/>
        </w:rPr>
        <w:t xml:space="preserve">zaniknięcie z ryglem. Liczba: 8 </w:t>
      </w:r>
      <w:proofErr w:type="spellStart"/>
      <w:r>
        <w:rPr>
          <w:rFonts w:ascii="Times New Roman" w:hAnsi="Times New Roman"/>
          <w:color w:val="000000"/>
          <w:spacing w:val="2"/>
          <w:sz w:val="23"/>
          <w:u w:val="single"/>
          <w:lang w:val="pl-PL"/>
        </w:rPr>
        <w:t>szt"Czy</w:t>
      </w:r>
      <w:proofErr w:type="spellEnd"/>
      <w:r>
        <w:rPr>
          <w:rFonts w:ascii="Times New Roman" w:hAnsi="Times New Roman"/>
          <w:color w:val="000000"/>
          <w:spacing w:val="2"/>
          <w:sz w:val="23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3"/>
          <w:u w:val="single"/>
          <w:lang w:val="pl-PL"/>
        </w:rPr>
        <w:t xml:space="preserve">ilość 8 sztuk jest wystarczająca dla </w:t>
      </w:r>
      <w:r>
        <w:rPr>
          <w:rFonts w:ascii="Times New Roman" w:hAnsi="Times New Roman"/>
          <w:b/>
          <w:color w:val="000000"/>
          <w:spacing w:val="14"/>
          <w:sz w:val="23"/>
          <w:u w:val="single"/>
          <w:lang w:val="pl-PL"/>
        </w:rPr>
        <w:t xml:space="preserve">realizacji bezpiecznych transportów materiału biologicznego? </w:t>
      </w:r>
      <w:r>
        <w:rPr>
          <w:rFonts w:ascii="Times New Roman" w:hAnsi="Times New Roman"/>
          <w:color w:val="000000"/>
          <w:spacing w:val="14"/>
          <w:sz w:val="23"/>
          <w:u w:val="single"/>
          <w:lang w:val="pl-PL"/>
        </w:rPr>
        <w:t xml:space="preserve">Czy </w:t>
      </w:r>
      <w:r>
        <w:rPr>
          <w:rFonts w:ascii="Times New Roman" w:hAnsi="Times New Roman"/>
          <w:color w:val="000000"/>
          <w:sz w:val="23"/>
          <w:u w:val="single"/>
          <w:lang w:val="pl-PL"/>
        </w:rPr>
        <w:t xml:space="preserve">pojemniki muszą posiadać rygiel zamykający? </w:t>
      </w:r>
    </w:p>
    <w:p w:rsidR="00611B0A" w:rsidRPr="00611B0A" w:rsidRDefault="00611B0A" w:rsidP="00611B0A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611B0A">
        <w:rPr>
          <w:rFonts w:ascii="Times New Roman" w:hAnsi="Times New Roman"/>
          <w:b/>
          <w:color w:val="FF0000"/>
          <w:sz w:val="23"/>
          <w:lang w:val="pl-PL"/>
        </w:rPr>
        <w:t>Ad.</w:t>
      </w:r>
      <w:r>
        <w:rPr>
          <w:rFonts w:ascii="Times New Roman" w:hAnsi="Times New Roman"/>
          <w:b/>
          <w:color w:val="FF0000"/>
          <w:sz w:val="23"/>
          <w:lang w:val="pl-PL"/>
        </w:rPr>
        <w:t>5</w:t>
      </w:r>
      <w:r w:rsidRPr="00611B0A">
        <w:rPr>
          <w:rFonts w:ascii="Times New Roman" w:hAnsi="Times New Roman"/>
          <w:b/>
          <w:color w:val="FF0000"/>
          <w:sz w:val="23"/>
          <w:lang w:val="pl-PL"/>
        </w:rPr>
        <w:t xml:space="preserve">. </w:t>
      </w:r>
      <w:r>
        <w:rPr>
          <w:rFonts w:ascii="Times New Roman" w:hAnsi="Times New Roman"/>
          <w:b/>
          <w:color w:val="FF0000"/>
          <w:sz w:val="23"/>
          <w:lang w:val="pl-PL"/>
        </w:rPr>
        <w:t>Wykonać zgodnie z SIWZ</w:t>
      </w:r>
    </w:p>
    <w:p w:rsidR="00611B0A" w:rsidRPr="00611B0A" w:rsidRDefault="00611B0A" w:rsidP="00611B0A">
      <w:pPr>
        <w:tabs>
          <w:tab w:val="decimal" w:pos="576"/>
        </w:tabs>
        <w:spacing w:before="36"/>
        <w:ind w:right="864"/>
        <w:jc w:val="both"/>
        <w:rPr>
          <w:rFonts w:ascii="Times New Roman" w:hAnsi="Times New Roman"/>
          <w:b/>
          <w:color w:val="000000"/>
          <w:spacing w:val="8"/>
          <w:sz w:val="23"/>
          <w:u w:val="single"/>
          <w:lang w:val="pl-PL"/>
        </w:rPr>
      </w:pPr>
    </w:p>
    <w:p w:rsidR="007D7079" w:rsidRPr="00611B0A" w:rsidRDefault="007C47F6">
      <w:pPr>
        <w:numPr>
          <w:ilvl w:val="0"/>
          <w:numId w:val="2"/>
        </w:numPr>
        <w:tabs>
          <w:tab w:val="clear" w:pos="360"/>
          <w:tab w:val="decimal" w:pos="576"/>
        </w:tabs>
        <w:spacing w:before="72"/>
        <w:ind w:left="576" w:right="864" w:hanging="360"/>
        <w:jc w:val="both"/>
        <w:rPr>
          <w:rFonts w:ascii="Times New Roman" w:hAnsi="Times New Roman"/>
          <w:color w:val="000000"/>
          <w:spacing w:val="1"/>
          <w:sz w:val="23"/>
          <w:u w:val="single"/>
          <w:lang w:val="pl-PL"/>
        </w:rPr>
      </w:pPr>
      <w:r>
        <w:rPr>
          <w:rFonts w:ascii="Times New Roman" w:hAnsi="Times New Roman"/>
          <w:color w:val="000000"/>
          <w:spacing w:val="1"/>
          <w:sz w:val="23"/>
          <w:u w:val="single"/>
          <w:lang w:val="pl-PL"/>
        </w:rPr>
        <w:t xml:space="preserve">Co </w:t>
      </w:r>
      <w:r>
        <w:rPr>
          <w:rFonts w:ascii="Times New Roman" w:hAnsi="Times New Roman"/>
          <w:b/>
          <w:color w:val="000000"/>
          <w:spacing w:val="1"/>
          <w:sz w:val="23"/>
          <w:u w:val="single"/>
          <w:lang w:val="pl-PL"/>
        </w:rPr>
        <w:t xml:space="preserve">zamawiający rozumie pod pojęciem hermetyczne? Czy pojemniki maja posiadać certyfikat lub dokument potwierdzający ze oferowane pojemniki </w:t>
      </w:r>
      <w:r>
        <w:rPr>
          <w:rFonts w:ascii="Times New Roman" w:hAnsi="Times New Roman"/>
          <w:b/>
          <w:color w:val="000000"/>
          <w:spacing w:val="9"/>
          <w:sz w:val="23"/>
          <w:u w:val="single"/>
          <w:lang w:val="pl-PL"/>
        </w:rPr>
        <w:t xml:space="preserve">posiadają w dniu składania oferty stopień </w:t>
      </w:r>
      <w:r>
        <w:rPr>
          <w:rFonts w:ascii="Times New Roman" w:hAnsi="Times New Roman"/>
          <w:b/>
          <w:color w:val="000000"/>
          <w:spacing w:val="9"/>
          <w:w w:val="105"/>
          <w:sz w:val="24"/>
          <w:u w:val="single"/>
          <w:lang w:val="pl-PL"/>
        </w:rPr>
        <w:t xml:space="preserve">ochrony IP </w:t>
      </w:r>
      <w:r>
        <w:rPr>
          <w:rFonts w:ascii="Times New Roman" w:hAnsi="Times New Roman"/>
          <w:b/>
          <w:color w:val="000000"/>
          <w:spacing w:val="9"/>
          <w:sz w:val="23"/>
          <w:u w:val="single"/>
          <w:lang w:val="pl-PL"/>
        </w:rPr>
        <w:t xml:space="preserve">np. 65 czy 66  </w:t>
      </w:r>
      <w:r>
        <w:rPr>
          <w:rFonts w:ascii="Times New Roman" w:hAnsi="Times New Roman"/>
          <w:b/>
          <w:color w:val="000000"/>
          <w:spacing w:val="1"/>
          <w:sz w:val="23"/>
          <w:u w:val="single"/>
          <w:lang w:val="pl-PL"/>
        </w:rPr>
        <w:t xml:space="preserve">(potwierdzone przez jedenastkę certyfikującą np. TUV)? </w:t>
      </w:r>
    </w:p>
    <w:p w:rsidR="007D7079" w:rsidRPr="00611B0A" w:rsidRDefault="00611B0A" w:rsidP="00611B0A">
      <w:pPr>
        <w:tabs>
          <w:tab w:val="decimal" w:pos="360"/>
          <w:tab w:val="decimal" w:pos="792"/>
        </w:tabs>
        <w:spacing w:before="324"/>
        <w:ind w:right="648"/>
        <w:jc w:val="both"/>
        <w:rPr>
          <w:rFonts w:ascii="Times New Roman" w:hAnsi="Times New Roman"/>
          <w:b/>
          <w:color w:val="FF0000"/>
          <w:sz w:val="23"/>
          <w:lang w:val="pl-PL"/>
        </w:rPr>
      </w:pPr>
      <w:r w:rsidRPr="00611B0A">
        <w:rPr>
          <w:rFonts w:ascii="Times New Roman" w:hAnsi="Times New Roman"/>
          <w:b/>
          <w:color w:val="FF0000"/>
          <w:sz w:val="23"/>
          <w:lang w:val="pl-PL"/>
        </w:rPr>
        <w:t>Ad.</w:t>
      </w:r>
      <w:r>
        <w:rPr>
          <w:rFonts w:ascii="Times New Roman" w:hAnsi="Times New Roman"/>
          <w:b/>
          <w:color w:val="FF0000"/>
          <w:sz w:val="23"/>
          <w:lang w:val="pl-PL"/>
        </w:rPr>
        <w:t>6</w:t>
      </w:r>
      <w:r w:rsidRPr="00611B0A">
        <w:rPr>
          <w:rFonts w:ascii="Times New Roman" w:hAnsi="Times New Roman"/>
          <w:b/>
          <w:color w:val="FF0000"/>
          <w:sz w:val="23"/>
          <w:lang w:val="pl-PL"/>
        </w:rPr>
        <w:t xml:space="preserve">. </w:t>
      </w:r>
      <w:r>
        <w:rPr>
          <w:rFonts w:ascii="Times New Roman" w:hAnsi="Times New Roman"/>
          <w:b/>
          <w:color w:val="FF0000"/>
          <w:sz w:val="23"/>
          <w:lang w:val="pl-PL"/>
        </w:rPr>
        <w:t xml:space="preserve">Pojemniki hermetyczne powinny </w:t>
      </w:r>
      <w:r w:rsidR="002B1386">
        <w:rPr>
          <w:rFonts w:ascii="Times New Roman" w:hAnsi="Times New Roman"/>
          <w:b/>
          <w:color w:val="FF0000"/>
          <w:sz w:val="23"/>
          <w:lang w:val="pl-PL"/>
        </w:rPr>
        <w:t xml:space="preserve">być w pełni wodoszczelne oraz zapewniać bezpieczeństwo transportu materiału biologicznego. Powinny one posiadać stopień ochrony IP </w:t>
      </w:r>
      <w:r w:rsidR="007C47F6">
        <w:rPr>
          <w:rFonts w:ascii="Times New Roman" w:hAnsi="Times New Roman"/>
          <w:b/>
          <w:color w:val="FF0000"/>
          <w:sz w:val="23"/>
          <w:lang w:val="pl-PL"/>
        </w:rPr>
        <w:t>co najmniej IP 65. Zamawiający nie wymaga certyfikatów aktualnych na dzień składania oferty. Weryfikacja materiałów następuje przed ich wbudowaniem na etapie akceptacji kart materiałowych zgodnie z SIWZ. Certyfikaty powinny być aktualne na dzień składania karty materiałowej a data ich ważności nie może upłynąć przed datą ich faktycznego wbudowania na obiekcie.</w:t>
      </w:r>
      <w:bookmarkStart w:id="0" w:name="_GoBack"/>
      <w:bookmarkEnd w:id="0"/>
    </w:p>
    <w:sectPr w:rsidR="007D7079" w:rsidRPr="00611B0A" w:rsidSect="00703D9D">
      <w:type w:val="continuous"/>
      <w:pgSz w:w="11918" w:h="16854"/>
      <w:pgMar w:top="3333" w:right="1293" w:bottom="247" w:left="138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5F1"/>
    <w:multiLevelType w:val="multilevel"/>
    <w:tmpl w:val="04F0B7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3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56905"/>
    <w:multiLevelType w:val="multilevel"/>
    <w:tmpl w:val="42AAD242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3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079"/>
    <w:rsid w:val="00002916"/>
    <w:rsid w:val="002B1386"/>
    <w:rsid w:val="00462DB4"/>
    <w:rsid w:val="00611B0A"/>
    <w:rsid w:val="00703D9D"/>
    <w:rsid w:val="007926AE"/>
    <w:rsid w:val="007C47F6"/>
    <w:rsid w:val="007D7079"/>
    <w:rsid w:val="007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2018-01-25T13:35:00Z</dcterms:created>
  <dcterms:modified xsi:type="dcterms:W3CDTF">2018-01-25T13:35:00Z</dcterms:modified>
</cp:coreProperties>
</file>