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7C" w:rsidRDefault="00F8687C" w:rsidP="009A10F6">
      <w:pPr>
        <w:pStyle w:val="Nagwek1"/>
        <w:spacing w:before="120" w:after="240"/>
        <w:ind w:left="2835" w:hanging="2835"/>
        <w:jc w:val="both"/>
        <w:rPr>
          <w:rFonts w:ascii="Arial" w:hAnsi="Arial" w:cs="Arial"/>
          <w:b w:val="0"/>
          <w:color w:val="auto"/>
          <w:sz w:val="24"/>
        </w:rPr>
      </w:pPr>
      <w:r w:rsidRPr="009A10F6">
        <w:rPr>
          <w:rFonts w:ascii="Arial" w:hAnsi="Arial" w:cs="Arial"/>
          <w:color w:val="auto"/>
          <w:sz w:val="24"/>
        </w:rPr>
        <w:t xml:space="preserve">Przedmiot zamówienia: </w:t>
      </w:r>
      <w:r w:rsidRPr="009A10F6">
        <w:rPr>
          <w:rFonts w:ascii="Arial" w:hAnsi="Arial" w:cs="Arial"/>
          <w:b w:val="0"/>
          <w:color w:val="auto"/>
          <w:sz w:val="24"/>
        </w:rPr>
        <w:t xml:space="preserve">rewalidacja procesów mycia, dezynfekcji i sterylizacji urządzeń technicznych firmy </w:t>
      </w:r>
      <w:r w:rsidR="005A49A4" w:rsidRPr="009A10F6">
        <w:rPr>
          <w:rFonts w:ascii="Arial" w:hAnsi="Arial" w:cs="Arial"/>
          <w:b w:val="0"/>
          <w:color w:val="auto"/>
          <w:sz w:val="24"/>
        </w:rPr>
        <w:t>GETINGE</w:t>
      </w:r>
      <w:r w:rsidRPr="009A10F6">
        <w:rPr>
          <w:rFonts w:ascii="Arial" w:hAnsi="Arial" w:cs="Arial"/>
          <w:b w:val="0"/>
          <w:color w:val="auto"/>
          <w:sz w:val="24"/>
        </w:rPr>
        <w:t xml:space="preserve"> będących na wyposażeniu Centralnej </w:t>
      </w:r>
      <w:proofErr w:type="spellStart"/>
      <w:r w:rsidRPr="009A10F6">
        <w:rPr>
          <w:rFonts w:ascii="Arial" w:hAnsi="Arial" w:cs="Arial"/>
          <w:b w:val="0"/>
          <w:color w:val="auto"/>
          <w:sz w:val="24"/>
        </w:rPr>
        <w:t>Sterylizatorni</w:t>
      </w:r>
      <w:proofErr w:type="spellEnd"/>
      <w:r w:rsidRPr="009A10F6">
        <w:rPr>
          <w:rFonts w:ascii="Arial" w:hAnsi="Arial" w:cs="Arial"/>
          <w:b w:val="0"/>
          <w:color w:val="auto"/>
          <w:sz w:val="24"/>
        </w:rPr>
        <w:t xml:space="preserve"> </w:t>
      </w:r>
      <w:proofErr w:type="spellStart"/>
      <w:r w:rsidRPr="009A10F6">
        <w:rPr>
          <w:rFonts w:ascii="Arial" w:hAnsi="Arial" w:cs="Arial"/>
          <w:b w:val="0"/>
          <w:color w:val="auto"/>
          <w:sz w:val="24"/>
        </w:rPr>
        <w:t>Copermicus</w:t>
      </w:r>
      <w:proofErr w:type="spellEnd"/>
      <w:r w:rsidRPr="009A10F6">
        <w:rPr>
          <w:rFonts w:ascii="Arial" w:hAnsi="Arial" w:cs="Arial"/>
          <w:b w:val="0"/>
          <w:color w:val="auto"/>
          <w:sz w:val="24"/>
        </w:rPr>
        <w:t xml:space="preserve"> Podmiot Leczniczy Spółka z o.o. w Gdańsku</w:t>
      </w:r>
    </w:p>
    <w:p w:rsidR="009A10F6" w:rsidRPr="005A49A4" w:rsidRDefault="005A49A4" w:rsidP="005A49A4">
      <w:pPr>
        <w:pStyle w:val="Akapitzlist"/>
        <w:numPr>
          <w:ilvl w:val="0"/>
          <w:numId w:val="2"/>
        </w:numPr>
        <w:spacing w:after="0"/>
        <w:ind w:left="284" w:hanging="426"/>
        <w:rPr>
          <w:rFonts w:ascii="Arial" w:eastAsiaTheme="majorEastAsia" w:hAnsi="Arial" w:cs="Arial"/>
          <w:b/>
          <w:bCs/>
          <w:sz w:val="24"/>
          <w:szCs w:val="28"/>
        </w:rPr>
      </w:pPr>
      <w:r w:rsidRPr="005A49A4">
        <w:rPr>
          <w:rFonts w:ascii="Arial" w:eastAsiaTheme="majorEastAsia" w:hAnsi="Arial" w:cs="Arial"/>
          <w:b/>
          <w:bCs/>
          <w:sz w:val="24"/>
          <w:szCs w:val="28"/>
        </w:rPr>
        <w:t xml:space="preserve">Sterylizator </w:t>
      </w:r>
      <w:r w:rsidR="00424B73">
        <w:rPr>
          <w:rFonts w:ascii="Arial" w:eastAsiaTheme="majorEastAsia" w:hAnsi="Arial" w:cs="Arial"/>
          <w:b/>
          <w:bCs/>
          <w:sz w:val="24"/>
          <w:szCs w:val="28"/>
        </w:rPr>
        <w:t xml:space="preserve">parowy  </w:t>
      </w:r>
      <w:r w:rsidRPr="005A49A4">
        <w:rPr>
          <w:rFonts w:ascii="Arial" w:eastAsiaTheme="majorEastAsia" w:hAnsi="Arial" w:cs="Arial"/>
          <w:b/>
          <w:bCs/>
          <w:sz w:val="24"/>
          <w:szCs w:val="28"/>
        </w:rPr>
        <w:t>HS</w:t>
      </w:r>
      <w:r>
        <w:rPr>
          <w:rFonts w:ascii="Arial" w:eastAsiaTheme="majorEastAsia" w:hAnsi="Arial" w:cs="Arial"/>
          <w:b/>
          <w:bCs/>
          <w:sz w:val="24"/>
          <w:szCs w:val="28"/>
        </w:rPr>
        <w:t xml:space="preserve">6613 </w:t>
      </w:r>
      <w:r w:rsidRPr="009A10F6">
        <w:rPr>
          <w:rFonts w:ascii="Arial" w:hAnsi="Arial" w:cs="Arial"/>
          <w:b/>
          <w:sz w:val="24"/>
        </w:rPr>
        <w:t>GETINGE</w:t>
      </w:r>
      <w:r>
        <w:rPr>
          <w:rFonts w:ascii="Arial" w:hAnsi="Arial" w:cs="Arial"/>
          <w:b/>
          <w:sz w:val="24"/>
        </w:rPr>
        <w:t xml:space="preserve"> – 3 urządzenia</w:t>
      </w:r>
    </w:p>
    <w:tbl>
      <w:tblPr>
        <w:tblStyle w:val="Tabela-Siatka"/>
        <w:tblW w:w="6487" w:type="dxa"/>
        <w:tblLook w:val="04A0" w:firstRow="1" w:lastRow="0" w:firstColumn="1" w:lastColumn="0" w:noHBand="0" w:noVBand="1"/>
      </w:tblPr>
      <w:tblGrid>
        <w:gridCol w:w="538"/>
        <w:gridCol w:w="4669"/>
        <w:gridCol w:w="1280"/>
      </w:tblGrid>
      <w:tr w:rsidR="00335CD2" w:rsidTr="00335CD2">
        <w:trPr>
          <w:trHeight w:val="20"/>
        </w:trPr>
        <w:tc>
          <w:tcPr>
            <w:tcW w:w="538" w:type="dxa"/>
            <w:vAlign w:val="center"/>
          </w:tcPr>
          <w:p w:rsidR="00335CD2" w:rsidRPr="009A10F6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L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p.</w:t>
            </w:r>
          </w:p>
        </w:tc>
        <w:tc>
          <w:tcPr>
            <w:tcW w:w="4669" w:type="dxa"/>
            <w:vAlign w:val="center"/>
          </w:tcPr>
          <w:p w:rsidR="00335CD2" w:rsidRPr="009A10F6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pis wymaganych parametrów technicznych zgodnych z normą PN-EN ISO 17665</w:t>
            </w:r>
          </w:p>
        </w:tc>
        <w:tc>
          <w:tcPr>
            <w:tcW w:w="1280" w:type="dxa"/>
            <w:vAlign w:val="center"/>
          </w:tcPr>
          <w:p w:rsidR="00335CD2" w:rsidRPr="009A10F6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W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artość wymagana</w:t>
            </w:r>
          </w:p>
        </w:tc>
      </w:tr>
      <w:tr w:rsidR="00335CD2" w:rsidTr="00335CD2">
        <w:trPr>
          <w:trHeight w:val="20"/>
        </w:trPr>
        <w:tc>
          <w:tcPr>
            <w:tcW w:w="538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4"/>
              </w:numPr>
              <w:spacing w:before="0"/>
              <w:ind w:left="426" w:hanging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69" w:type="dxa"/>
          </w:tcPr>
          <w:p w:rsidR="00335CD2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operacyjna OQ ma wykazać, że zainstalowany sprzęt działa w granicach wcześniej wyznaczonych zakresów.  Obejmuje ona :</w:t>
            </w:r>
          </w:p>
          <w:p w:rsidR="00335CD2" w:rsidRDefault="00335CD2" w:rsidP="00A37824">
            <w:pPr>
              <w:pStyle w:val="Akapitzlist"/>
              <w:numPr>
                <w:ilvl w:val="0"/>
                <w:numId w:val="10"/>
              </w:numPr>
            </w:pPr>
            <w:r>
              <w:t>pomiar rozkładów temperatury w 9 punktach i pomiar ciśnienia w jednym punkcie  wewnątrz pustej komory sterylizatora- 3 cykle pomiarów w 3-ech kolejnych  seriach dla każdego z procesów :</w:t>
            </w:r>
          </w:p>
          <w:p w:rsidR="00335CD2" w:rsidRDefault="00335CD2" w:rsidP="00F51100">
            <w:pPr>
              <w:pStyle w:val="Akapitzlist"/>
            </w:pPr>
            <w:r>
              <w:t>- program rozgrzewający-x3</w:t>
            </w:r>
          </w:p>
          <w:p w:rsidR="00335CD2" w:rsidRDefault="00335CD2" w:rsidP="00F51100">
            <w:pPr>
              <w:pStyle w:val="Akapitzlist"/>
            </w:pPr>
            <w:r>
              <w:t xml:space="preserve">-program </w:t>
            </w:r>
            <w:proofErr w:type="spellStart"/>
            <w:r>
              <w:t>Bovie</w:t>
            </w:r>
            <w:proofErr w:type="spellEnd"/>
            <w:r>
              <w:t xml:space="preserve"> –Dicka-x3</w:t>
            </w:r>
          </w:p>
          <w:p w:rsidR="00335CD2" w:rsidRDefault="00335CD2" w:rsidP="00F51100">
            <w:pPr>
              <w:pStyle w:val="Akapitzlist"/>
            </w:pPr>
            <w:r>
              <w:t>- program 121oC-x3</w:t>
            </w:r>
          </w:p>
          <w:p w:rsidR="00335CD2" w:rsidRDefault="00335CD2" w:rsidP="00F51100">
            <w:pPr>
              <w:pStyle w:val="Akapitzlist"/>
            </w:pPr>
            <w:r>
              <w:t>-program 134oC-x 3 dla każdego zakresu czasu temperatury ( razem 9 pomiarów)</w:t>
            </w:r>
          </w:p>
          <w:p w:rsidR="00335CD2" w:rsidRDefault="00335CD2" w:rsidP="00F51100">
            <w:pPr>
              <w:pStyle w:val="Akapitzlist"/>
            </w:pPr>
            <w:r>
              <w:t>zgodnie z normami PN EN 285 oraz PN EN ISO 17665</w:t>
            </w:r>
          </w:p>
          <w:p w:rsidR="00335CD2" w:rsidRDefault="00335CD2" w:rsidP="00AB4BC8">
            <w:r>
              <w:t>b)Opracowanie raportów badań i protokołu z OQ.</w:t>
            </w:r>
          </w:p>
          <w:p w:rsidR="00335CD2" w:rsidRPr="00A37824" w:rsidRDefault="00335CD2" w:rsidP="00F51100">
            <w:pPr>
              <w:pStyle w:val="Akapitzlist"/>
            </w:pPr>
          </w:p>
        </w:tc>
        <w:tc>
          <w:tcPr>
            <w:tcW w:w="1280" w:type="dxa"/>
          </w:tcPr>
          <w:p w:rsidR="00335CD2" w:rsidRPr="009A10F6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  <w:bookmarkStart w:id="0" w:name="_GoBack"/>
        <w:bookmarkEnd w:id="0"/>
      </w:tr>
      <w:tr w:rsidR="00335CD2" w:rsidTr="00335CD2">
        <w:trPr>
          <w:trHeight w:val="20"/>
        </w:trPr>
        <w:tc>
          <w:tcPr>
            <w:tcW w:w="538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4"/>
              </w:numPr>
              <w:spacing w:before="0"/>
              <w:ind w:left="426" w:hanging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69" w:type="dxa"/>
          </w:tcPr>
          <w:p w:rsidR="00335CD2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Kwalifikacja procesowa PQ obejmuje: udokumentowane działania mające na celu udowodnić, że sprzęt działa zgodnie z ustalonymi kryteriami i daje wyrób odpowiadający jego specyfikacji.   </w:t>
            </w:r>
          </w:p>
          <w:p w:rsidR="00335CD2" w:rsidRDefault="00335CD2" w:rsidP="0016072C">
            <w:r>
              <w:t>Obejmuje ona :</w:t>
            </w:r>
          </w:p>
          <w:p w:rsidR="00335CD2" w:rsidRDefault="00335CD2" w:rsidP="00AB4BC8">
            <w:pPr>
              <w:pStyle w:val="Akapitzlist"/>
              <w:numPr>
                <w:ilvl w:val="0"/>
                <w:numId w:val="11"/>
              </w:numPr>
            </w:pPr>
            <w:r>
              <w:t>określenie konfiguracji  wsadów w cyklach walidacyjnych</w:t>
            </w:r>
          </w:p>
          <w:p w:rsidR="00335CD2" w:rsidRDefault="00335CD2" w:rsidP="00AB4BC8">
            <w:pPr>
              <w:pStyle w:val="Akapitzlist"/>
              <w:numPr>
                <w:ilvl w:val="0"/>
                <w:numId w:val="11"/>
              </w:numPr>
            </w:pPr>
            <w:r>
              <w:t>pomiar penetracji temperatury wewnątrz komory sterylizatora z wsadem reprezentatywnym dla najtrudniejszego wsadu cyklu sterylizacji w 9 punktach i pomiar ciśnienia w 1 punkcie wewnątrz załadowanej komory sterylizatora- 3-y cykle pomiarów w 3-ech kolejnych seriach dla każdego z procesów:</w:t>
            </w:r>
          </w:p>
          <w:p w:rsidR="00335CD2" w:rsidRDefault="00335CD2" w:rsidP="00AB4BC8">
            <w:pPr>
              <w:pStyle w:val="Akapitzlist"/>
            </w:pPr>
            <w:r>
              <w:t>– program 121oC-x3</w:t>
            </w:r>
          </w:p>
          <w:p w:rsidR="00335CD2" w:rsidRDefault="00335CD2" w:rsidP="00424B73">
            <w:pPr>
              <w:pStyle w:val="Akapitzlist"/>
            </w:pPr>
            <w:r>
              <w:t>- program 134oC-x3 dla każdego z zakresu czasu temperatury(razem 9 pomiarów) zgodnie z normami  PN EN 285 oraz PN EN ISO 17665</w:t>
            </w:r>
          </w:p>
          <w:p w:rsidR="00335CD2" w:rsidRPr="0016072C" w:rsidRDefault="00335CD2" w:rsidP="00424B73">
            <w:r>
              <w:t xml:space="preserve">c) opracowanie raportów badań i protokołu z PQ. </w:t>
            </w:r>
          </w:p>
        </w:tc>
        <w:tc>
          <w:tcPr>
            <w:tcW w:w="1280" w:type="dxa"/>
          </w:tcPr>
          <w:p w:rsidR="00335CD2" w:rsidRPr="009A10F6" w:rsidRDefault="00335CD2" w:rsidP="009A10F6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</w:tbl>
    <w:p w:rsidR="005A49A4" w:rsidRDefault="005A49A4" w:rsidP="005A49A4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5A49A4" w:rsidRPr="005A49A4" w:rsidRDefault="005A49A4" w:rsidP="005A49A4">
      <w:pPr>
        <w:pStyle w:val="Akapitzlist"/>
        <w:numPr>
          <w:ilvl w:val="0"/>
          <w:numId w:val="2"/>
        </w:numPr>
        <w:spacing w:after="0"/>
        <w:ind w:left="284" w:hanging="426"/>
        <w:rPr>
          <w:rFonts w:ascii="Arial" w:eastAsiaTheme="majorEastAsia" w:hAnsi="Arial" w:cs="Arial"/>
          <w:b/>
          <w:bCs/>
          <w:sz w:val="24"/>
          <w:szCs w:val="28"/>
        </w:rPr>
      </w:pPr>
      <w:r w:rsidRPr="005A49A4">
        <w:rPr>
          <w:rFonts w:ascii="Arial" w:eastAsiaTheme="majorEastAsia" w:hAnsi="Arial" w:cs="Arial"/>
          <w:b/>
          <w:bCs/>
          <w:sz w:val="24"/>
          <w:szCs w:val="28"/>
        </w:rPr>
        <w:t xml:space="preserve">Sterylizator </w:t>
      </w:r>
      <w:r w:rsidR="003D2C26">
        <w:rPr>
          <w:rFonts w:ascii="Arial" w:eastAsiaTheme="majorEastAsia" w:hAnsi="Arial" w:cs="Arial"/>
          <w:b/>
          <w:bCs/>
          <w:sz w:val="24"/>
          <w:szCs w:val="28"/>
        </w:rPr>
        <w:t xml:space="preserve">Aerator </w:t>
      </w:r>
      <w:r>
        <w:rPr>
          <w:rFonts w:ascii="Arial" w:eastAsiaTheme="majorEastAsia" w:hAnsi="Arial" w:cs="Arial"/>
          <w:b/>
          <w:bCs/>
          <w:sz w:val="24"/>
          <w:szCs w:val="28"/>
        </w:rPr>
        <w:t xml:space="preserve">ETO </w:t>
      </w:r>
      <w:proofErr w:type="spellStart"/>
      <w:r>
        <w:rPr>
          <w:rFonts w:ascii="Arial" w:eastAsiaTheme="majorEastAsia" w:hAnsi="Arial" w:cs="Arial"/>
          <w:b/>
          <w:bCs/>
          <w:sz w:val="24"/>
          <w:szCs w:val="28"/>
        </w:rPr>
        <w:t>Sterimed</w:t>
      </w:r>
      <w:proofErr w:type="spellEnd"/>
      <w:r>
        <w:rPr>
          <w:rFonts w:ascii="Arial" w:eastAsiaTheme="majorEastAsia" w:hAnsi="Arial" w:cs="Arial"/>
          <w:b/>
          <w:bCs/>
          <w:sz w:val="24"/>
          <w:szCs w:val="28"/>
        </w:rPr>
        <w:t xml:space="preserve"> – 2P</w:t>
      </w:r>
      <w:r>
        <w:rPr>
          <w:rFonts w:ascii="Arial" w:hAnsi="Arial" w:cs="Arial"/>
          <w:b/>
          <w:sz w:val="24"/>
        </w:rPr>
        <w:t xml:space="preserve"> – 1 urządzenie</w:t>
      </w:r>
    </w:p>
    <w:tbl>
      <w:tblPr>
        <w:tblStyle w:val="Tabela-Siatka"/>
        <w:tblW w:w="6486" w:type="dxa"/>
        <w:tblLook w:val="04A0" w:firstRow="1" w:lastRow="0" w:firstColumn="1" w:lastColumn="0" w:noHBand="0" w:noVBand="1"/>
      </w:tblPr>
      <w:tblGrid>
        <w:gridCol w:w="534"/>
        <w:gridCol w:w="4672"/>
        <w:gridCol w:w="1280"/>
      </w:tblGrid>
      <w:tr w:rsidR="00335CD2" w:rsidTr="00335CD2">
        <w:trPr>
          <w:trHeight w:val="20"/>
        </w:trPr>
        <w:tc>
          <w:tcPr>
            <w:tcW w:w="534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lastRenderedPageBreak/>
              <w:t>L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p.</w:t>
            </w:r>
          </w:p>
        </w:tc>
        <w:tc>
          <w:tcPr>
            <w:tcW w:w="4672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pis wymaganych parametrów technicznych zgodnych z normą PN-EN ISO 17665</w:t>
            </w:r>
          </w:p>
        </w:tc>
        <w:tc>
          <w:tcPr>
            <w:tcW w:w="1280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W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artość wymagana</w:t>
            </w:r>
          </w:p>
        </w:tc>
      </w:tr>
      <w:tr w:rsidR="00335CD2" w:rsidTr="00335CD2">
        <w:trPr>
          <w:trHeight w:val="20"/>
        </w:trPr>
        <w:tc>
          <w:tcPr>
            <w:tcW w:w="534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6"/>
              </w:numPr>
              <w:spacing w:before="0"/>
              <w:ind w:left="426" w:hanging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186C3B">
            <w:pPr>
              <w:pStyle w:val="Nagwek1"/>
              <w:spacing w:before="0"/>
              <w:ind w:firstLine="708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operacyjna OQ obejmuje :</w:t>
            </w:r>
          </w:p>
          <w:p w:rsidR="00335CD2" w:rsidRDefault="00335CD2" w:rsidP="00186C3B">
            <w:pPr>
              <w:pStyle w:val="Akapitzlist"/>
              <w:numPr>
                <w:ilvl w:val="0"/>
                <w:numId w:val="12"/>
              </w:numPr>
            </w:pPr>
            <w:r>
              <w:t>pomiar rozkładów temperatury w 9 punktach i pomiar wilgotności względnej w 2 punktach wewnątrz pustej komory sterylizatora-3 cykle dla procesów :</w:t>
            </w:r>
          </w:p>
          <w:p w:rsidR="00335CD2" w:rsidRPr="00186C3B" w:rsidRDefault="00335CD2" w:rsidP="00186C3B">
            <w:pPr>
              <w:pStyle w:val="Akapitzlist"/>
              <w:numPr>
                <w:ilvl w:val="0"/>
                <w:numId w:val="12"/>
              </w:numPr>
            </w:pPr>
            <w:r>
              <w:t>program ciepły 57oC/4h ekspozycji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  <w:tr w:rsidR="00335CD2" w:rsidTr="00335CD2">
        <w:trPr>
          <w:trHeight w:val="20"/>
        </w:trPr>
        <w:tc>
          <w:tcPr>
            <w:tcW w:w="534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6"/>
              </w:numPr>
              <w:spacing w:before="0"/>
              <w:ind w:left="426" w:hanging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procesowa PQ obejmuje:</w:t>
            </w:r>
          </w:p>
          <w:p w:rsidR="00335CD2" w:rsidRDefault="00335CD2" w:rsidP="003D2C26">
            <w:r>
              <w:t>a)pomiar penetracji temperatury wewnątrz komory sterylizatora z wsadem reprezentatywnym dla rutynowej sterylizacji w 9 punktach i wilgotności względnej w 2 punktach wewnątrz załadowanej komory sterylizatora- 3 cykle dla procesów</w:t>
            </w:r>
          </w:p>
          <w:p w:rsidR="00335CD2" w:rsidRPr="003D2C26" w:rsidRDefault="00335CD2" w:rsidP="003D2C26">
            <w:r>
              <w:t>Program 57oC/4h ekspozycji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  <w:tr w:rsidR="00335CD2" w:rsidTr="00335CD2">
        <w:trPr>
          <w:trHeight w:val="20"/>
        </w:trPr>
        <w:tc>
          <w:tcPr>
            <w:tcW w:w="534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6"/>
              </w:numPr>
              <w:spacing w:before="0"/>
              <w:ind w:left="426" w:hanging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Opracowanie  raportu badań i protokołu z PQ.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</w:tbl>
    <w:p w:rsidR="005A49A4" w:rsidRDefault="005A49A4" w:rsidP="005A49A4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5A49A4" w:rsidRPr="005A49A4" w:rsidRDefault="005A49A4" w:rsidP="005A49A4">
      <w:pPr>
        <w:pStyle w:val="Akapitzlist"/>
        <w:numPr>
          <w:ilvl w:val="0"/>
          <w:numId w:val="2"/>
        </w:numPr>
        <w:spacing w:after="0"/>
        <w:ind w:left="284" w:hanging="426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>Myjnia kontenerowa 9100 GETINGE</w:t>
      </w:r>
      <w:r>
        <w:rPr>
          <w:rFonts w:ascii="Arial" w:hAnsi="Arial" w:cs="Arial"/>
          <w:b/>
          <w:sz w:val="24"/>
        </w:rPr>
        <w:t xml:space="preserve"> – 1 urządzenie</w:t>
      </w:r>
    </w:p>
    <w:tbl>
      <w:tblPr>
        <w:tblStyle w:val="Tabela-Siatka"/>
        <w:tblW w:w="6491" w:type="dxa"/>
        <w:tblLook w:val="04A0" w:firstRow="1" w:lastRow="0" w:firstColumn="1" w:lastColumn="0" w:noHBand="0" w:noVBand="1"/>
      </w:tblPr>
      <w:tblGrid>
        <w:gridCol w:w="539"/>
        <w:gridCol w:w="4672"/>
        <w:gridCol w:w="1280"/>
      </w:tblGrid>
      <w:tr w:rsidR="00335CD2" w:rsidTr="00335CD2">
        <w:trPr>
          <w:trHeight w:val="20"/>
        </w:trPr>
        <w:tc>
          <w:tcPr>
            <w:tcW w:w="539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lastRenderedPageBreak/>
              <w:t>L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p.</w:t>
            </w:r>
          </w:p>
        </w:tc>
        <w:tc>
          <w:tcPr>
            <w:tcW w:w="4672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pis wymaganych parametrów technicznych zgodnych z normą PN-EN ISO 17665</w:t>
            </w:r>
          </w:p>
        </w:tc>
        <w:tc>
          <w:tcPr>
            <w:tcW w:w="1280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W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artość wymagana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1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operacyjna OQ  ma wykazać, że zainstalowany sprzęt działa w granicach wcześniej wyznaczonych zakresów i jest używany zgodnie z jego procedurami.</w:t>
            </w:r>
          </w:p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Obejmuje: </w:t>
            </w:r>
          </w:p>
          <w:p w:rsidR="00335CD2" w:rsidRDefault="00335CD2" w:rsidP="006D06AD">
            <w:pPr>
              <w:pStyle w:val="Nagwek1"/>
              <w:numPr>
                <w:ilvl w:val="0"/>
                <w:numId w:val="13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pomiar rozkładów temperatury w 12 punktach wewnątrz pustej komory myjni – 3 cykle dla procesów dekontaminacji dezynfekcji termicznej</w:t>
            </w:r>
          </w:p>
          <w:p w:rsidR="00335CD2" w:rsidRPr="009A10F6" w:rsidRDefault="00335CD2" w:rsidP="006D06AD">
            <w:pPr>
              <w:pStyle w:val="Nagwek1"/>
              <w:spacing w:before="0"/>
              <w:ind w:left="72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program 95oC  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1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procesowa PQ to udokumentowane działania mające na celu udowodnić, że sprzęt działa zgodnie z ustalonymi kryteriami i daje wyrób odpowiadający jego specyfikacji.</w:t>
            </w:r>
          </w:p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Obejmuje: badania PQ dla myjni dezynfektorów zgodnie z normą PN EN ISO 15883-1 i 2.</w:t>
            </w:r>
          </w:p>
          <w:p w:rsidR="00335CD2" w:rsidRDefault="00335CD2" w:rsidP="00413C7B">
            <w:pPr>
              <w:pStyle w:val="Nagwek1"/>
              <w:numPr>
                <w:ilvl w:val="0"/>
                <w:numId w:val="14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pomiar penetracji temperatury wewnątrz komory myjni kontenerowej z wsadem reprezentatywnym dla rutynowej dekontaminacji w 12 punktach komory myjni – 3 cykle dla kolejnych procesów. Program 95oC.</w:t>
            </w:r>
          </w:p>
          <w:p w:rsidR="00335CD2" w:rsidRDefault="00335CD2" w:rsidP="00413C7B">
            <w:pPr>
              <w:pStyle w:val="Nagwek1"/>
              <w:numPr>
                <w:ilvl w:val="0"/>
                <w:numId w:val="14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pomiary przepływów środków chemicznych – 2-3 preparaty ( 3 krotne pomiary dla każdego środka)</w:t>
            </w:r>
          </w:p>
          <w:p w:rsidR="00335CD2" w:rsidRDefault="00335CD2" w:rsidP="00413C7B">
            <w:pPr>
              <w:pStyle w:val="Nagwek1"/>
              <w:numPr>
                <w:ilvl w:val="0"/>
                <w:numId w:val="14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testy odmierzania objętości środków chemicznych</w:t>
            </w:r>
          </w:p>
          <w:p w:rsidR="00335CD2" w:rsidRPr="009A10F6" w:rsidRDefault="00335CD2" w:rsidP="00413C7B">
            <w:pPr>
              <w:pStyle w:val="Nagwek1"/>
              <w:numPr>
                <w:ilvl w:val="0"/>
                <w:numId w:val="14"/>
              </w:numPr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testy elektrozaworów   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1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Opracowanie dokumentacji raportu z rewalidacji.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</w:tbl>
    <w:p w:rsidR="005A49A4" w:rsidRDefault="005A49A4" w:rsidP="005A49A4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5A49A4" w:rsidRPr="005A49A4" w:rsidRDefault="005A49A4" w:rsidP="005A49A4">
      <w:pPr>
        <w:pStyle w:val="Akapitzlist"/>
        <w:numPr>
          <w:ilvl w:val="0"/>
          <w:numId w:val="2"/>
        </w:numPr>
        <w:spacing w:after="0"/>
        <w:ind w:left="284" w:hanging="426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 xml:space="preserve">Myjnia </w:t>
      </w:r>
      <w:r w:rsidR="00B571E3">
        <w:rPr>
          <w:rFonts w:ascii="Arial" w:eastAsiaTheme="majorEastAsia" w:hAnsi="Arial" w:cs="Arial"/>
          <w:b/>
          <w:bCs/>
          <w:sz w:val="24"/>
          <w:szCs w:val="28"/>
        </w:rPr>
        <w:t>88 Turbo</w:t>
      </w:r>
      <w:r>
        <w:rPr>
          <w:rFonts w:ascii="Arial" w:eastAsiaTheme="majorEastAsia" w:hAnsi="Arial" w:cs="Arial"/>
          <w:b/>
          <w:bCs/>
          <w:sz w:val="24"/>
          <w:szCs w:val="28"/>
        </w:rPr>
        <w:t xml:space="preserve"> GETINGE</w:t>
      </w:r>
      <w:r>
        <w:rPr>
          <w:rFonts w:ascii="Arial" w:hAnsi="Arial" w:cs="Arial"/>
          <w:b/>
          <w:sz w:val="24"/>
        </w:rPr>
        <w:t xml:space="preserve"> – </w:t>
      </w:r>
      <w:r w:rsidR="00B571E3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urządzeni</w:t>
      </w:r>
      <w:r w:rsidR="00B571E3">
        <w:rPr>
          <w:rFonts w:ascii="Arial" w:hAnsi="Arial" w:cs="Arial"/>
          <w:b/>
          <w:sz w:val="24"/>
        </w:rPr>
        <w:t>a</w:t>
      </w:r>
    </w:p>
    <w:tbl>
      <w:tblPr>
        <w:tblStyle w:val="Tabela-Siatka"/>
        <w:tblW w:w="6491" w:type="dxa"/>
        <w:tblLook w:val="04A0" w:firstRow="1" w:lastRow="0" w:firstColumn="1" w:lastColumn="0" w:noHBand="0" w:noVBand="1"/>
      </w:tblPr>
      <w:tblGrid>
        <w:gridCol w:w="539"/>
        <w:gridCol w:w="4672"/>
        <w:gridCol w:w="1280"/>
      </w:tblGrid>
      <w:tr w:rsidR="00335CD2" w:rsidTr="00335CD2">
        <w:trPr>
          <w:trHeight w:val="20"/>
        </w:trPr>
        <w:tc>
          <w:tcPr>
            <w:tcW w:w="539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lastRenderedPageBreak/>
              <w:t>L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p.</w:t>
            </w:r>
          </w:p>
        </w:tc>
        <w:tc>
          <w:tcPr>
            <w:tcW w:w="4672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pis wymaganych parametrów technicznych zgodnych z normą PN-EN ISO 17665</w:t>
            </w:r>
          </w:p>
        </w:tc>
        <w:tc>
          <w:tcPr>
            <w:tcW w:w="1280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W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artość wymagana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7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operacyjna  OQ ma wykazać , że zainstalowany sprzęt działa w granicach wcześniej wyznaczonych zakresów i jest używany zgodnie z jego procedurami. obejmuje:</w:t>
            </w:r>
          </w:p>
          <w:p w:rsidR="00335CD2" w:rsidRPr="00BF765A" w:rsidRDefault="00335CD2" w:rsidP="00BF765A">
            <w:pPr>
              <w:pStyle w:val="Akapitzlist"/>
              <w:numPr>
                <w:ilvl w:val="0"/>
                <w:numId w:val="15"/>
              </w:numPr>
            </w:pPr>
            <w:r>
              <w:t>pomiar penetracji temperatury wewnątrz pustej myjni dezynfektora w 9 punktach komory – 3 cykle dla procesów : program 95oC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7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kwalifikacja procesowa PQ to udokumentowane działania mające na celu udowodnić , że sprzęt działa zgodnie z ustalonymi kryteriami i daje wyrób odpowiadający jego specyfikacji.</w:t>
            </w:r>
          </w:p>
          <w:p w:rsidR="00335CD2" w:rsidRDefault="00335CD2" w:rsidP="00FA765B">
            <w:r>
              <w:t xml:space="preserve">Obejmuje : badania PQ dla myjni dezynfektorów zgodnie z normą PN EN ISO 15883- 1 i 2.  </w:t>
            </w:r>
          </w:p>
          <w:p w:rsidR="00335CD2" w:rsidRDefault="00335CD2" w:rsidP="00FA765B">
            <w:pPr>
              <w:pStyle w:val="Akapitzlist"/>
              <w:numPr>
                <w:ilvl w:val="0"/>
                <w:numId w:val="16"/>
              </w:numPr>
            </w:pPr>
            <w:r>
              <w:t>pomiar penetracji temperatury wewnątrz komory myjni dezynfektora z wsadem reprezentatywnym dla rutynowej dekontaminacji w 9 punktach komory myjni – x 3 cykle dla kolejnych procesów. Program 95oC.</w:t>
            </w:r>
          </w:p>
          <w:p w:rsidR="00335CD2" w:rsidRDefault="00335CD2" w:rsidP="00FA765B">
            <w:pPr>
              <w:pStyle w:val="Akapitzlist"/>
              <w:numPr>
                <w:ilvl w:val="0"/>
                <w:numId w:val="16"/>
              </w:numPr>
            </w:pPr>
            <w:r>
              <w:t>pomiary przepływu środków chemicznych- 3 preparaty ( 3 krotne pomiary dla każdego środka)</w:t>
            </w:r>
          </w:p>
          <w:p w:rsidR="00335CD2" w:rsidRDefault="00335CD2" w:rsidP="00FA765B">
            <w:pPr>
              <w:pStyle w:val="Akapitzlist"/>
              <w:numPr>
                <w:ilvl w:val="0"/>
                <w:numId w:val="16"/>
              </w:numPr>
            </w:pPr>
            <w:r>
              <w:t xml:space="preserve">testy odmierzania objętości środków chemicznych </w:t>
            </w:r>
          </w:p>
          <w:p w:rsidR="00335CD2" w:rsidRPr="00FA765B" w:rsidRDefault="00335CD2" w:rsidP="00FA765B">
            <w:pPr>
              <w:pStyle w:val="Akapitzlist"/>
              <w:numPr>
                <w:ilvl w:val="0"/>
                <w:numId w:val="16"/>
              </w:numPr>
            </w:pPr>
            <w:r>
              <w:t>testy elektrozaworów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5A49A4">
            <w:pPr>
              <w:pStyle w:val="Nagwek1"/>
              <w:numPr>
                <w:ilvl w:val="1"/>
                <w:numId w:val="7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Opracowanie dokumentacji raportu z rewalidacji. 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tak</w:t>
            </w:r>
          </w:p>
        </w:tc>
      </w:tr>
    </w:tbl>
    <w:p w:rsidR="00B571E3" w:rsidRDefault="00B571E3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B571E3" w:rsidRPr="005A49A4" w:rsidRDefault="00B571E3" w:rsidP="00B571E3">
      <w:pPr>
        <w:pStyle w:val="Akapitzlist"/>
        <w:numPr>
          <w:ilvl w:val="0"/>
          <w:numId w:val="2"/>
        </w:numPr>
        <w:spacing w:after="0"/>
        <w:ind w:left="284" w:hanging="426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>Stacja dozująca detergentów GETINGE</w:t>
      </w:r>
    </w:p>
    <w:tbl>
      <w:tblPr>
        <w:tblStyle w:val="Tabela-Siatka"/>
        <w:tblW w:w="6491" w:type="dxa"/>
        <w:tblLook w:val="04A0" w:firstRow="1" w:lastRow="0" w:firstColumn="1" w:lastColumn="0" w:noHBand="0" w:noVBand="1"/>
      </w:tblPr>
      <w:tblGrid>
        <w:gridCol w:w="539"/>
        <w:gridCol w:w="4672"/>
        <w:gridCol w:w="1280"/>
      </w:tblGrid>
      <w:tr w:rsidR="00335CD2" w:rsidTr="00335CD2">
        <w:trPr>
          <w:trHeight w:val="20"/>
        </w:trPr>
        <w:tc>
          <w:tcPr>
            <w:tcW w:w="539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L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p.</w:t>
            </w:r>
          </w:p>
        </w:tc>
        <w:tc>
          <w:tcPr>
            <w:tcW w:w="4672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O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pis wymaganych parametrów technicznych zgodnych z normą PN-EN ISO 17665</w:t>
            </w:r>
          </w:p>
        </w:tc>
        <w:tc>
          <w:tcPr>
            <w:tcW w:w="1280" w:type="dxa"/>
            <w:vAlign w:val="center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W</w:t>
            </w:r>
            <w:r w:rsidRPr="009A10F6">
              <w:rPr>
                <w:rFonts w:ascii="Arial" w:hAnsi="Arial" w:cs="Arial"/>
                <w:b w:val="0"/>
                <w:color w:val="auto"/>
                <w:sz w:val="22"/>
              </w:rPr>
              <w:t>artość wymagana</w:t>
            </w: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B571E3">
            <w:pPr>
              <w:pStyle w:val="Nagwek1"/>
              <w:numPr>
                <w:ilvl w:val="1"/>
                <w:numId w:val="8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Kwalifikacja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</w:rPr>
              <w:t>operacyjno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 –procesowa OQ/ PQ obejmująca:</w:t>
            </w:r>
          </w:p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- pomiar temperatur środków chemicznych – 3-y preparaty –x 3y pomiary</w:t>
            </w:r>
          </w:p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- pomiar przepływów środków chemicznych – x 3y pomiary dla każdego środka</w:t>
            </w:r>
          </w:p>
          <w:p w:rsidR="00335CD2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>- test odmierzania   objętości środków chemicznych- x 3y pomiary dla każdego środka</w:t>
            </w:r>
          </w:p>
          <w:p w:rsidR="00335CD2" w:rsidRPr="005F78EC" w:rsidRDefault="00335CD2" w:rsidP="005F78EC">
            <w:r>
              <w:t>- testy elektrozaworów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335CD2" w:rsidTr="00335CD2">
        <w:trPr>
          <w:trHeight w:val="20"/>
        </w:trPr>
        <w:tc>
          <w:tcPr>
            <w:tcW w:w="539" w:type="dxa"/>
          </w:tcPr>
          <w:p w:rsidR="00335CD2" w:rsidRPr="009A10F6" w:rsidRDefault="00335CD2" w:rsidP="00B571E3">
            <w:pPr>
              <w:pStyle w:val="Nagwek1"/>
              <w:numPr>
                <w:ilvl w:val="1"/>
                <w:numId w:val="8"/>
              </w:numPr>
              <w:spacing w:before="0"/>
              <w:ind w:left="426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  <w:tc>
          <w:tcPr>
            <w:tcW w:w="4672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</w:rPr>
              <w:t xml:space="preserve">Sporządzenie raportu z rewalidacji. </w:t>
            </w:r>
          </w:p>
        </w:tc>
        <w:tc>
          <w:tcPr>
            <w:tcW w:w="1280" w:type="dxa"/>
          </w:tcPr>
          <w:p w:rsidR="00335CD2" w:rsidRPr="009A10F6" w:rsidRDefault="00335CD2" w:rsidP="00780DCB">
            <w:pPr>
              <w:pStyle w:val="Nagwek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:rsidR="00F131F2" w:rsidRDefault="00F131F2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1048D3" w:rsidRDefault="001048D3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1048D3" w:rsidRDefault="001048D3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1048D3" w:rsidRDefault="001048D3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1048D3" w:rsidRDefault="001048D3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1048D3" w:rsidRDefault="001048D3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</w:p>
    <w:p w:rsidR="005C0CC5" w:rsidRDefault="005C0CC5" w:rsidP="00B571E3">
      <w:pPr>
        <w:pStyle w:val="Akapitzlist"/>
        <w:spacing w:after="0"/>
        <w:ind w:left="284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>Uwagi:</w:t>
      </w:r>
    </w:p>
    <w:p w:rsidR="005C0CC5" w:rsidRDefault="005C0CC5" w:rsidP="005C0CC5">
      <w:pPr>
        <w:pStyle w:val="Akapitzlist"/>
        <w:numPr>
          <w:ilvl w:val="0"/>
          <w:numId w:val="17"/>
        </w:numPr>
        <w:spacing w:after="0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 xml:space="preserve">Do rewalidacji należy użyć bezprzewodowy sprzęt pomiarowy skalibrowany zgodnie z wymaganiami normy i dostosowany do pracy w atmosferze Tlenku Etylenu, pary, wilgotnym środowisku </w:t>
      </w:r>
      <w:proofErr w:type="spellStart"/>
      <w:r>
        <w:rPr>
          <w:rFonts w:ascii="Arial" w:eastAsiaTheme="majorEastAsia" w:hAnsi="Arial" w:cs="Arial"/>
          <w:b/>
          <w:bCs/>
          <w:sz w:val="24"/>
          <w:szCs w:val="28"/>
        </w:rPr>
        <w:t>myjni-dezynfektora</w:t>
      </w:r>
      <w:proofErr w:type="spellEnd"/>
      <w:r>
        <w:rPr>
          <w:rFonts w:ascii="Arial" w:eastAsiaTheme="majorEastAsia" w:hAnsi="Arial" w:cs="Arial"/>
          <w:b/>
          <w:bCs/>
          <w:sz w:val="24"/>
          <w:szCs w:val="28"/>
        </w:rPr>
        <w:t>.</w:t>
      </w:r>
    </w:p>
    <w:p w:rsidR="005C0CC5" w:rsidRDefault="005C0CC5" w:rsidP="005C0CC5">
      <w:pPr>
        <w:pStyle w:val="Akapitzlist"/>
        <w:numPr>
          <w:ilvl w:val="0"/>
          <w:numId w:val="17"/>
        </w:numPr>
        <w:spacing w:after="0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 xml:space="preserve">Oferent poda dokładne dane metrologiczne zestawu </w:t>
      </w:r>
      <w:r w:rsidR="009530AF">
        <w:rPr>
          <w:rFonts w:ascii="Arial" w:eastAsiaTheme="majorEastAsia" w:hAnsi="Arial" w:cs="Arial"/>
          <w:b/>
          <w:bCs/>
          <w:sz w:val="24"/>
          <w:szCs w:val="28"/>
        </w:rPr>
        <w:t xml:space="preserve">bezprzewodowego sprzętu pomiarowego użytego do wykonania rewalidacji urządzeń w Centralnej </w:t>
      </w:r>
      <w:proofErr w:type="spellStart"/>
      <w:r w:rsidR="009530AF">
        <w:rPr>
          <w:rFonts w:ascii="Arial" w:eastAsiaTheme="majorEastAsia" w:hAnsi="Arial" w:cs="Arial"/>
          <w:b/>
          <w:bCs/>
          <w:sz w:val="24"/>
          <w:szCs w:val="28"/>
        </w:rPr>
        <w:t>Sterylizatorni</w:t>
      </w:r>
      <w:proofErr w:type="spellEnd"/>
      <w:r w:rsidR="009530AF">
        <w:rPr>
          <w:rFonts w:ascii="Arial" w:eastAsiaTheme="majorEastAsia" w:hAnsi="Arial" w:cs="Arial"/>
          <w:b/>
          <w:bCs/>
          <w:sz w:val="24"/>
          <w:szCs w:val="28"/>
        </w:rPr>
        <w:t xml:space="preserve">.  </w:t>
      </w:r>
    </w:p>
    <w:p w:rsidR="005C0CC5" w:rsidRDefault="005C0CC5" w:rsidP="005C0CC5">
      <w:pPr>
        <w:pStyle w:val="Akapitzlist"/>
        <w:numPr>
          <w:ilvl w:val="0"/>
          <w:numId w:val="17"/>
        </w:numPr>
        <w:spacing w:after="0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 xml:space="preserve">Koszt  zastosowanych wskaźników chemicznych i biologicznych potwierdzających skuteczność procesów dekontaminacji pokryje zamawiający. </w:t>
      </w:r>
    </w:p>
    <w:p w:rsidR="005C0CC5" w:rsidRPr="00B571E3" w:rsidRDefault="005C0CC5" w:rsidP="005C0CC5">
      <w:pPr>
        <w:pStyle w:val="Akapitzlist"/>
        <w:numPr>
          <w:ilvl w:val="0"/>
          <w:numId w:val="17"/>
        </w:numPr>
        <w:spacing w:after="0"/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eastAsiaTheme="majorEastAsia" w:hAnsi="Arial" w:cs="Arial"/>
          <w:b/>
          <w:bCs/>
          <w:sz w:val="24"/>
          <w:szCs w:val="28"/>
        </w:rPr>
        <w:t>Oferta musi spełniać wszystkie oczekiwane wymagania zamawiającego</w:t>
      </w:r>
      <w:r w:rsidR="009530AF">
        <w:rPr>
          <w:rFonts w:ascii="Arial" w:eastAsiaTheme="majorEastAsia" w:hAnsi="Arial" w:cs="Arial"/>
          <w:b/>
          <w:bCs/>
          <w:sz w:val="24"/>
          <w:szCs w:val="28"/>
        </w:rPr>
        <w:t xml:space="preserve"> określone w SIWZ.</w:t>
      </w:r>
      <w:r>
        <w:rPr>
          <w:rFonts w:ascii="Arial" w:eastAsiaTheme="majorEastAsia" w:hAnsi="Arial" w:cs="Arial"/>
          <w:b/>
          <w:bCs/>
          <w:sz w:val="24"/>
          <w:szCs w:val="28"/>
        </w:rPr>
        <w:t xml:space="preserve">  </w:t>
      </w:r>
    </w:p>
    <w:sectPr w:rsidR="005C0CC5" w:rsidRPr="00B571E3" w:rsidSect="009A10F6">
      <w:headerReference w:type="default" r:id="rId7"/>
      <w:pgSz w:w="11906" w:h="16838"/>
      <w:pgMar w:top="1382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39" w:rsidRDefault="00863239" w:rsidP="00F8687C">
      <w:pPr>
        <w:spacing w:after="0" w:line="240" w:lineRule="auto"/>
      </w:pPr>
      <w:r>
        <w:separator/>
      </w:r>
    </w:p>
  </w:endnote>
  <w:endnote w:type="continuationSeparator" w:id="0">
    <w:p w:rsidR="00863239" w:rsidRDefault="00863239" w:rsidP="00F8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39" w:rsidRDefault="00863239" w:rsidP="00F8687C">
      <w:pPr>
        <w:spacing w:after="0" w:line="240" w:lineRule="auto"/>
      </w:pPr>
      <w:r>
        <w:separator/>
      </w:r>
    </w:p>
  </w:footnote>
  <w:footnote w:type="continuationSeparator" w:id="0">
    <w:p w:rsidR="00863239" w:rsidRDefault="00863239" w:rsidP="00F86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7C" w:rsidRDefault="00F8687C" w:rsidP="00F8687C">
    <w:pPr>
      <w:pStyle w:val="Nagwek"/>
      <w:jc w:val="right"/>
    </w:pPr>
    <w:r>
      <w:t>Załącznik nr</w:t>
    </w:r>
    <w:r w:rsidR="001C4333">
      <w:t xml:space="preserve"> 2 </w:t>
    </w:r>
    <w:r>
      <w:t xml:space="preserve">do </w:t>
    </w:r>
    <w:r w:rsidR="001C4333">
      <w:t>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5510"/>
    <w:multiLevelType w:val="hybridMultilevel"/>
    <w:tmpl w:val="D05E5E22"/>
    <w:lvl w:ilvl="0" w:tplc="953CC6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4C5CFC"/>
    <w:multiLevelType w:val="multilevel"/>
    <w:tmpl w:val="37A073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0F04"/>
    <w:multiLevelType w:val="multilevel"/>
    <w:tmpl w:val="F38E2418"/>
    <w:styleLink w:val="Styl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AF1FDA"/>
    <w:multiLevelType w:val="hybridMultilevel"/>
    <w:tmpl w:val="5CA224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07969"/>
    <w:multiLevelType w:val="hybridMultilevel"/>
    <w:tmpl w:val="D6062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93500"/>
    <w:multiLevelType w:val="hybridMultilevel"/>
    <w:tmpl w:val="F3940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3F94"/>
    <w:multiLevelType w:val="multilevel"/>
    <w:tmpl w:val="37A073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9130EFE"/>
    <w:multiLevelType w:val="multilevel"/>
    <w:tmpl w:val="F38E24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D1D19B9"/>
    <w:multiLevelType w:val="multilevel"/>
    <w:tmpl w:val="F38E2418"/>
    <w:numStyleLink w:val="Styl2"/>
  </w:abstractNum>
  <w:abstractNum w:abstractNumId="9">
    <w:nsid w:val="4F982D2E"/>
    <w:multiLevelType w:val="hybridMultilevel"/>
    <w:tmpl w:val="1E38CE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C2397"/>
    <w:multiLevelType w:val="multilevel"/>
    <w:tmpl w:val="37A073A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554A10"/>
    <w:multiLevelType w:val="hybridMultilevel"/>
    <w:tmpl w:val="D744E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595455E"/>
    <w:multiLevelType w:val="hybridMultilevel"/>
    <w:tmpl w:val="529CA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32755"/>
    <w:multiLevelType w:val="multilevel"/>
    <w:tmpl w:val="37A073AC"/>
    <w:numStyleLink w:val="Styl1"/>
  </w:abstractNum>
  <w:abstractNum w:abstractNumId="14">
    <w:nsid w:val="6ECA08C4"/>
    <w:multiLevelType w:val="hybridMultilevel"/>
    <w:tmpl w:val="23AAA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7105D"/>
    <w:multiLevelType w:val="multilevel"/>
    <w:tmpl w:val="37A073AC"/>
    <w:styleLink w:val="Styl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8036E91"/>
    <w:multiLevelType w:val="hybridMultilevel"/>
    <w:tmpl w:val="AA6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4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1048D3"/>
    <w:rsid w:val="0016072C"/>
    <w:rsid w:val="00186C3B"/>
    <w:rsid w:val="001C4333"/>
    <w:rsid w:val="00335CD2"/>
    <w:rsid w:val="003D2C26"/>
    <w:rsid w:val="00413C7B"/>
    <w:rsid w:val="00424B73"/>
    <w:rsid w:val="004C365D"/>
    <w:rsid w:val="00541757"/>
    <w:rsid w:val="005A49A4"/>
    <w:rsid w:val="005C0CC5"/>
    <w:rsid w:val="005F78EC"/>
    <w:rsid w:val="006468A0"/>
    <w:rsid w:val="006D06AD"/>
    <w:rsid w:val="00863239"/>
    <w:rsid w:val="009530AF"/>
    <w:rsid w:val="009A10F6"/>
    <w:rsid w:val="00A37824"/>
    <w:rsid w:val="00AB4BC8"/>
    <w:rsid w:val="00B571E3"/>
    <w:rsid w:val="00BF765A"/>
    <w:rsid w:val="00F131F2"/>
    <w:rsid w:val="00F51100"/>
    <w:rsid w:val="00F8687C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A3DD8-3C77-4AB0-8D1D-6DA3E30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A1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87C"/>
  </w:style>
  <w:style w:type="paragraph" w:styleId="Stopka">
    <w:name w:val="footer"/>
    <w:basedOn w:val="Normalny"/>
    <w:link w:val="StopkaZnak"/>
    <w:uiPriority w:val="99"/>
    <w:unhideWhenUsed/>
    <w:rsid w:val="00F86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87C"/>
  </w:style>
  <w:style w:type="character" w:customStyle="1" w:styleId="Nagwek1Znak">
    <w:name w:val="Nagłówek 1 Znak"/>
    <w:basedOn w:val="Domylnaczcionkaakapitu"/>
    <w:link w:val="Nagwek1"/>
    <w:uiPriority w:val="9"/>
    <w:rsid w:val="009A1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A49A4"/>
    <w:pPr>
      <w:ind w:left="720"/>
      <w:contextualSpacing/>
    </w:pPr>
  </w:style>
  <w:style w:type="numbering" w:customStyle="1" w:styleId="Styl1">
    <w:name w:val="Styl1"/>
    <w:uiPriority w:val="99"/>
    <w:rsid w:val="005A49A4"/>
    <w:pPr>
      <w:numPr>
        <w:numId w:val="3"/>
      </w:numPr>
    </w:pPr>
  </w:style>
  <w:style w:type="numbering" w:customStyle="1" w:styleId="Styl2">
    <w:name w:val="Styl2"/>
    <w:uiPriority w:val="99"/>
    <w:rsid w:val="005A49A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818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CPL</cp:lastModifiedBy>
  <cp:revision>2</cp:revision>
  <dcterms:created xsi:type="dcterms:W3CDTF">2018-07-17T05:40:00Z</dcterms:created>
  <dcterms:modified xsi:type="dcterms:W3CDTF">2018-07-17T05:40:00Z</dcterms:modified>
</cp:coreProperties>
</file>