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4A" w:rsidRDefault="008F2DEF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</w:t>
      </w:r>
    </w:p>
    <w:p w:rsidR="00BC5C4A" w:rsidRDefault="008F2DEF">
      <w:pPr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 nr 9 do Opisu Przedmiotu Zamówienia</w:t>
      </w:r>
    </w:p>
    <w:p w:rsidR="00BC5C4A" w:rsidRDefault="00BC5C4A">
      <w:pPr>
        <w:ind w:left="218"/>
        <w:rPr>
          <w:rFonts w:asciiTheme="minorHAnsi" w:hAnsiTheme="minorHAnsi"/>
          <w:sz w:val="22"/>
          <w:szCs w:val="22"/>
        </w:rPr>
      </w:pPr>
    </w:p>
    <w:p w:rsidR="00BC5C4A" w:rsidRDefault="00BC5C4A">
      <w:pPr>
        <w:ind w:left="218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BC5C4A" w:rsidRDefault="008F2DEF">
      <w:pPr>
        <w:pStyle w:val="Tekstpodstawowywcity"/>
        <w:ind w:left="21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DWUKOPUŁOWA LEDOWA LAMPA OPERACYJNA</w:t>
      </w:r>
    </w:p>
    <w:tbl>
      <w:tblPr>
        <w:tblW w:w="13440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/>
      </w:tblPr>
      <w:tblGrid>
        <w:gridCol w:w="590"/>
        <w:gridCol w:w="12850"/>
      </w:tblGrid>
      <w:tr w:rsidR="00BC5C4A">
        <w:trPr>
          <w:cantSplit/>
          <w:trHeight w:val="63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Zawartotabeli"/>
              <w:snapToGrid w:val="0"/>
              <w:spacing w:line="276" w:lineRule="auto"/>
              <w:ind w:right="22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Opis parametrów wymaganych</w:t>
            </w:r>
          </w:p>
        </w:tc>
      </w:tr>
      <w:tr w:rsidR="00BC5C4A">
        <w:trPr>
          <w:cantSplit/>
          <w:trHeight w:val="45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Urządzenie fabrycznie nowe. Rok produkcji taki sam jak rok instalacji. W przypadku instalacji w miesiącu styczniu, dopuszcza się urządzenie wyprodukowane w roku poprzednim. </w:t>
            </w:r>
          </w:p>
          <w:p w:rsidR="00BC5C4A" w:rsidRDefault="008F2DEF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trike/>
                <w:sz w:val="22"/>
                <w:szCs w:val="22"/>
                <w:highlight w:val="yellow"/>
              </w:rPr>
              <w:t>Rok produkcji nie starszy niż 2017</w:t>
            </w:r>
          </w:p>
        </w:tc>
      </w:tr>
      <w:tr w:rsidR="00BC5C4A">
        <w:trPr>
          <w:cantSplit/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Zamawiana ilość – 8 szt.</w:t>
            </w:r>
          </w:p>
        </w:tc>
      </w:tr>
      <w:tr w:rsidR="00BC5C4A">
        <w:trPr>
          <w:cantSplit/>
          <w:trHeight w:val="410"/>
        </w:trPr>
        <w:tc>
          <w:tcPr>
            <w:tcW w:w="1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Heading4"/>
              <w:numPr>
                <w:ilvl w:val="0"/>
                <w:numId w:val="0"/>
              </w:numPr>
              <w:tabs>
                <w:tab w:val="left" w:pos="8967"/>
              </w:tabs>
              <w:snapToGrid w:val="0"/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5C4A" w:rsidRDefault="008F2DEF">
            <w:pPr>
              <w:pStyle w:val="Heading4"/>
              <w:numPr>
                <w:ilvl w:val="3"/>
                <w:numId w:val="2"/>
              </w:numPr>
              <w:tabs>
                <w:tab w:val="left" w:pos="8967"/>
              </w:tabs>
              <w:snapToGrid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WYMAGANIA OGÓLNE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Dwukopułowa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lampa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operacyjna bezcieniowa mocowana do sufitu za pomocą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podkonstrukcji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dystansowej.</w:t>
            </w:r>
          </w:p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Czasze oświetleniowe wielosegmentowe ze źródłem światła w postaci diod LED. </w:t>
            </w:r>
          </w:p>
          <w:p w:rsidR="00BC5C4A" w:rsidRDefault="008F2DEF">
            <w:pPr>
              <w:pStyle w:val="Tekstpodstawowywcity"/>
              <w:snapToGrid w:val="0"/>
              <w:spacing w:after="0" w:line="276" w:lineRule="auto"/>
              <w:ind w:left="0"/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Ramiona wychodzące z jednego zawiesia sufitowego – zawiesie posiadające osłonę z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akrywającą płytę stropową i wszystkie przyłącza elektryczne, dopasowane do zastosowanego nawiewu laminarnego.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</w:pP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Źródło światła – białe diody LED. Każda kopuła wyposażona w minimum </w:t>
            </w:r>
            <w:r>
              <w:rPr>
                <w:rFonts w:asciiTheme="minorHAnsi" w:hAnsiTheme="minorHAnsi" w:cs="Calibri"/>
                <w:strike/>
                <w:color w:val="000000"/>
                <w:spacing w:val="-1"/>
                <w:sz w:val="22"/>
                <w:szCs w:val="22"/>
                <w:highlight w:val="yellow"/>
              </w:rPr>
              <w:t>90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  <w:highlight w:val="yellow"/>
              </w:rPr>
              <w:t xml:space="preserve"> 88 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diod LED. Pobór mocy – maksymalnie </w:t>
            </w:r>
            <w:r>
              <w:rPr>
                <w:rFonts w:asciiTheme="minorHAnsi" w:hAnsiTheme="minorHAnsi" w:cs="Calibri"/>
                <w:strike/>
                <w:color w:val="000000"/>
                <w:spacing w:val="-1"/>
                <w:sz w:val="22"/>
                <w:szCs w:val="22"/>
                <w:highlight w:val="yellow"/>
              </w:rPr>
              <w:t xml:space="preserve">160 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  <w:highlight w:val="yellow"/>
              </w:rPr>
              <w:t>240 W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 dla kopuły głównej oraz kopuły satelitarnej łącznie.</w:t>
            </w:r>
          </w:p>
        </w:tc>
      </w:tr>
      <w:tr w:rsidR="00BC5C4A">
        <w:trPr>
          <w:cantSplit/>
          <w:trHeight w:val="68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Regulacja wielkości pola operacyjnego w każdej z kopuł realizowana za pomocą sterylizowanego, wymiennego uchwytu umieszczonego w centralnej części czaszy.</w:t>
            </w:r>
          </w:p>
        </w:tc>
      </w:tr>
      <w:tr w:rsidR="00BC5C4A">
        <w:trPr>
          <w:cantSplit/>
          <w:trHeight w:val="57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Uchwyt do pozycjonowania kopuły z 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wielorazowymi nakładkami </w:t>
            </w:r>
            <w:proofErr w:type="spellStart"/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sterylizowalnymi</w:t>
            </w:r>
            <w:proofErr w:type="spellEnd"/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, umieszczony w centralnej części kopuły. Możliwość sterylizacji nakładki na uchwyt do pozycjonowania lampy w sterylizacji parowej w </w:t>
            </w:r>
            <w:proofErr w:type="spellStart"/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temeraturze</w:t>
            </w:r>
            <w:proofErr w:type="spellEnd"/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 134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C. W zestawie 18 szt./lampę</w:t>
            </w:r>
          </w:p>
        </w:tc>
      </w:tr>
      <w:tr w:rsidR="00BC5C4A">
        <w:trPr>
          <w:cantSplit/>
          <w:trHeight w:val="57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Maksymalna średnica kopuły głównej i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 satelitarnej – ok. 74 </w:t>
            </w:r>
            <w:proofErr w:type="spellStart"/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cm</w:t>
            </w:r>
            <w:proofErr w:type="spellEnd"/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BC5C4A">
        <w:trPr>
          <w:cantSplit/>
          <w:trHeight w:val="604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>Obudowa wykonana z metali lekkich (aluminium) lub innych materiałów odpornych na przypadkowe uderzenia w pozostałe elementy lampy i wyposażenia sali operacyjnej. Moduły świetlne osłonięte szybą ze szkła bezpiecznego lub innego materiału odpornego na uszkod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zenia i zarysowania. 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Obudowa każdej kopuły w pełni współpracująca ze stropami laminarnymi. 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Wzrost temperatury w okolicy głowy chirurga &lt; 1 stopień C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Każda kopuła wyposażona w panel sterujący, umieszczony z boku każdej kopuły – na ściance bocznej </w:t>
            </w:r>
            <w:r>
              <w:rPr>
                <w:rFonts w:asciiTheme="minorHAnsi" w:hAnsiTheme="minorHAnsi"/>
                <w:sz w:val="22"/>
                <w:szCs w:val="22"/>
              </w:rPr>
              <w:t>lub przegubie łączącym ramię uchylne z kopułą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Każda lampa wyposażona w dwa dodatkowe ramiona na wspólnej osi głównej z kopułami, o ruchomości jak kopuła główna, przeznaczone na monitor diagnostyczny o wielkości do 26” (monitor opisany w systemie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zintegrowanym), z uchwytem w standardzie VESA 100x100 z doprowadzonym zasilaniem zakończonym gniazdem IEC oraz przewodem sygnałowym DVI-D lub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HD-SDI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, połączone i skonfigurowane z systemem zintegrowanym (całość okablowania poprowadzona wewnątrz ramienia). R</w:t>
            </w:r>
            <w:r>
              <w:rPr>
                <w:rFonts w:asciiTheme="minorHAnsi" w:hAnsiTheme="minorHAnsi" w:cs="Calibri"/>
                <w:sz w:val="22"/>
                <w:szCs w:val="22"/>
              </w:rPr>
              <w:t>amię posiadające uchwyt z nakładkami sterylnymi (taki sam jak w kopule głównej i satelitarnej) do regulowania położenia.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Lampa operacyjna kompatybilna (współpracująca) z oferowanym w niniejszym postępowaniu systemem zintegrowanego sterowania salą operacy</w:t>
            </w:r>
            <w:r>
              <w:rPr>
                <w:rFonts w:asciiTheme="minorHAnsi" w:hAnsiTheme="minorHAnsi" w:cs="Calibri"/>
                <w:sz w:val="22"/>
                <w:szCs w:val="22"/>
              </w:rPr>
              <w:t>jną w zakresie co najmniej sterowania kamerą i przesyłu obrazu do systemu zintegrowanego.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Lampa przygotowana do zasilania doprowadzonego do miejsca podwieszenia lampy: AC 230V/ 50 Hz; 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Zakres ruchu wysięgników kopuł lamp oraz monitora:</w:t>
            </w:r>
          </w:p>
          <w:p w:rsidR="00BC5C4A" w:rsidRDefault="008F2DEF">
            <w:pPr>
              <w:pStyle w:val="Tekstpodstawowy"/>
              <w:numPr>
                <w:ilvl w:val="0"/>
                <w:numId w:val="3"/>
              </w:numPr>
              <w:snapToGrid w:val="0"/>
              <w:spacing w:line="276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obrót o min. 360</w:t>
            </w:r>
            <w:r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wokół mocowania głównego (pionowa oś lampy)</w:t>
            </w:r>
          </w:p>
          <w:p w:rsidR="00BC5C4A" w:rsidRDefault="008F2DEF">
            <w:pPr>
              <w:pStyle w:val="Tekstpodstawowy"/>
              <w:numPr>
                <w:ilvl w:val="0"/>
                <w:numId w:val="3"/>
              </w:numPr>
              <w:snapToGrid w:val="0"/>
              <w:spacing w:line="276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obrót ramienia uchylnego wokół przegubu łączącego ramiona o min. 360° (wokół osi pośredniej – osi pionowej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pomiedzy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ramieniem poziomym a ramieniem uchylnym)</w:t>
            </w:r>
          </w:p>
          <w:p w:rsidR="00BC5C4A" w:rsidRDefault="008F2DEF">
            <w:pPr>
              <w:pStyle w:val="Tekstpodstawowy"/>
              <w:numPr>
                <w:ilvl w:val="0"/>
                <w:numId w:val="3"/>
              </w:numPr>
              <w:snapToGrid w:val="0"/>
              <w:spacing w:line="276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obrót o min. 360° na przegubie łączącym kopułę z rami</w:t>
            </w:r>
            <w:r>
              <w:rPr>
                <w:rFonts w:asciiTheme="minorHAnsi" w:hAnsiTheme="minorHAnsi" w:cs="Calibri"/>
                <w:sz w:val="22"/>
                <w:szCs w:val="22"/>
              </w:rPr>
              <w:t>eniem uchylnym</w:t>
            </w:r>
          </w:p>
          <w:p w:rsidR="00BC5C4A" w:rsidRDefault="008F2DEF">
            <w:pPr>
              <w:pStyle w:val="Tekstpodstawowy"/>
              <w:numPr>
                <w:ilvl w:val="0"/>
                <w:numId w:val="3"/>
              </w:numPr>
              <w:snapToGrid w:val="0"/>
              <w:spacing w:line="276" w:lineRule="auto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Regulacja góra/dół ramienia uchylnego min. </w:t>
            </w:r>
            <w:r>
              <w:rPr>
                <w:rFonts w:asciiTheme="minorHAnsi" w:hAnsiTheme="minorHAnsi" w:cs="Calibri"/>
                <w:strike/>
                <w:sz w:val="22"/>
                <w:szCs w:val="22"/>
                <w:highlight w:val="yellow"/>
              </w:rPr>
              <w:t>100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° 95°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Komplet złożony z ramion obrotowych, sprężynowych, rury kołnierzowej i stropowego podwieszenia lampy wraz z zaślepkami śrub mocujących i obudową w miejscu przejścia stropu laminarnego. 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Lampa posiadająca zasilacz wbudowany w kopułę lampy lub zasilacz znajdujący się w miejscu łatwo dostępnym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szacht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elektryczny. 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Dostęp do zasilacza bez konieczności demontowania elementów ścian i sufitu. 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Powierzchnia kopuł i ramion zawieszenia łatwa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do utrzymania w czystości: gładka, wykonana z materiałów odpornych na działanie środków czyszczących i dezynfekujących powszechnie stosowanych w blokach operacyjnych</w:t>
            </w:r>
          </w:p>
        </w:tc>
      </w:tr>
      <w:tr w:rsidR="00BC5C4A">
        <w:trPr>
          <w:cantSplit/>
          <w:trHeight w:val="4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Maksymalna waga każdej z kopuł – 20 kg</w:t>
            </w:r>
          </w:p>
        </w:tc>
      </w:tr>
      <w:tr w:rsidR="00BC5C4A">
        <w:trPr>
          <w:cantSplit/>
          <w:trHeight w:val="456"/>
        </w:trPr>
        <w:tc>
          <w:tcPr>
            <w:tcW w:w="1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tabs>
                <w:tab w:val="left" w:pos="8967"/>
              </w:tabs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pacing w:val="-1"/>
                <w:sz w:val="22"/>
                <w:szCs w:val="22"/>
              </w:rPr>
              <w:t>Kopuła główna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_DdeLink__4693_1302051523"/>
            <w:r>
              <w:rPr>
                <w:rFonts w:asciiTheme="minorHAnsi" w:hAnsiTheme="minorHAnsi" w:cs="Calibri"/>
                <w:sz w:val="22"/>
                <w:szCs w:val="22"/>
              </w:rPr>
              <w:t>Kopuła główna</w:t>
            </w:r>
            <w:bookmarkEnd w:id="0"/>
            <w:r>
              <w:rPr>
                <w:rFonts w:asciiTheme="minorHAnsi" w:hAnsiTheme="minorHAnsi" w:cs="Calibri"/>
                <w:sz w:val="22"/>
                <w:szCs w:val="22"/>
              </w:rPr>
              <w:t xml:space="preserve"> wyposażona w moduły świetlne zawierające diody LED, ułożone symetrycznie, w tym jeden moduł centralny, zapewniająca równomierne oświetlenie pola operacyjnego i maksymalną bezcieniowość</w:t>
            </w:r>
          </w:p>
        </w:tc>
      </w:tr>
      <w:tr w:rsidR="00BC5C4A">
        <w:trPr>
          <w:cantSplit/>
          <w:trHeight w:val="45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Minimalne natężenia oświetlenia w odległości 1m (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) – 160 000 </w:t>
            </w:r>
            <w:r>
              <w:rPr>
                <w:rFonts w:asciiTheme="minorHAnsi" w:hAnsiTheme="minorHAnsi" w:cs="Calibri"/>
                <w:sz w:val="22"/>
                <w:szCs w:val="22"/>
              </w:rPr>
              <w:t>luksów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Temperatura barwowa regulowana w min. 3 krokach w zakresie min. 4000K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 5000 K. Zakres regulacji temperatury barwowej, niezależnie od natężenia światła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Minimalny zakres wielkości pola operacyjnego każdej czaszy dla (D10-D50): 14 – 28 cm</w:t>
            </w:r>
          </w:p>
          <w:p w:rsidR="00BC5C4A" w:rsidRDefault="008F2DE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D10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średnica pola świetlnego dla 10% maksymalnej mocy oświetlenia, zgodnie z EN-60601-2-41</w:t>
            </w:r>
          </w:p>
          <w:p w:rsidR="00BC5C4A" w:rsidRDefault="008F2DE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D50 – średnica pola świetlnego dla 50% maksymalnej mocy oświetlenia, zgodnie z EN-60601-2-41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bookmarkStart w:id="1" w:name="__DdeLink__2714_984760033"/>
            <w:bookmarkEnd w:id="1"/>
            <w:r>
              <w:rPr>
                <w:rFonts w:asciiTheme="minorHAnsi" w:hAnsiTheme="minorHAnsi" w:cs="Calibri"/>
                <w:sz w:val="22"/>
                <w:szCs w:val="22"/>
              </w:rPr>
              <w:t>Minimalny współczynnik odwzorowania barw (Ra) nie mniejszy niż 95</w:t>
            </w:r>
          </w:p>
        </w:tc>
      </w:tr>
      <w:tr w:rsidR="00BC5C4A">
        <w:trPr>
          <w:cantSplit/>
          <w:trHeight w:val="45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Współczynnik odwzorowania barwy dominującej , tj. barwy czerwonej (R9) nie mniejszy niż 93</w:t>
            </w:r>
          </w:p>
        </w:tc>
      </w:tr>
      <w:tr w:rsidR="00BC5C4A">
        <w:trPr>
          <w:cantSplit/>
          <w:trHeight w:val="45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Wgłębność oświetlenia (L1+L2 względem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)  – minimum </w:t>
            </w:r>
            <w:r>
              <w:rPr>
                <w:rFonts w:asciiTheme="minorHAnsi" w:hAnsiTheme="minorHAnsi" w:cs="Calibri"/>
                <w:strike/>
                <w:sz w:val="20"/>
                <w:highlight w:val="yellow"/>
              </w:rPr>
              <w:t xml:space="preserve">140 </w:t>
            </w:r>
            <w:r>
              <w:rPr>
                <w:rFonts w:asciiTheme="minorHAnsi" w:hAnsiTheme="minorHAnsi" w:cs="Calibri"/>
                <w:sz w:val="20"/>
                <w:highlight w:val="yellow"/>
              </w:rPr>
              <w:t>120</w:t>
            </w:r>
            <w:r>
              <w:rPr>
                <w:rFonts w:asciiTheme="minorHAnsi" w:hAnsiTheme="minorHAnsi" w:cs="Calibri"/>
                <w:strike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cm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>.</w:t>
            </w:r>
          </w:p>
        </w:tc>
      </w:tr>
      <w:tr w:rsidR="00BC5C4A">
        <w:trPr>
          <w:cantSplit/>
          <w:trHeight w:val="71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</w:pPr>
            <w:r>
              <w:rPr>
                <w:rFonts w:asciiTheme="minorHAnsi" w:hAnsiTheme="minorHAnsi" w:cs="Calibri"/>
                <w:sz w:val="22"/>
                <w:szCs w:val="22"/>
              </w:rPr>
              <w:t>Kopuła główna wyposażona w niesterylizowany uchwyt prętowy /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uchwyty prętowe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zintegrowane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z kopułą lampy, wykonany w sposób umożliwiający wsunięcie całej dłoni i jej zaciśnięcie, zapewniający pewny chwyt podczas przemieszczania lampy oraz łatwe i szybkie ustawienie kopuły niezależnie od jej położenia. Uchwyt otacza min. </w:t>
            </w:r>
            <w:r>
              <w:rPr>
                <w:rFonts w:ascii="Calibri" w:hAnsi="Calibri" w:cs="Calibri"/>
                <w:strike/>
                <w:sz w:val="20"/>
                <w:highlight w:val="yellow"/>
              </w:rPr>
              <w:t xml:space="preserve"> 65 % </w:t>
            </w:r>
            <w:r>
              <w:rPr>
                <w:rFonts w:ascii="Calibri" w:hAnsi="Calibri" w:cs="Calibri"/>
                <w:sz w:val="20"/>
                <w:highlight w:val="yellow"/>
              </w:rPr>
              <w:t>50% obwodu kopuły</w:t>
            </w:r>
            <w:r>
              <w:rPr>
                <w:rFonts w:ascii="Calibri" w:hAnsi="Calibri" w:cs="Calibri"/>
                <w:sz w:val="20"/>
                <w:highlight w:val="yellow"/>
              </w:rPr>
              <w:t xml:space="preserve"> (dopuszcza się uchwyty dzielone). </w:t>
            </w:r>
          </w:p>
        </w:tc>
      </w:tr>
      <w:tr w:rsidR="00BC5C4A">
        <w:trPr>
          <w:cantSplit/>
          <w:trHeight w:val="39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Kopuła główna zamocowana na podwójnym ramieniu o zasięgu min. 165 cm</w:t>
            </w:r>
          </w:p>
        </w:tc>
      </w:tr>
      <w:tr w:rsidR="00BC5C4A">
        <w:trPr>
          <w:cantSplit/>
          <w:trHeight w:val="67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Natężenie światła regulowane elektronicznie w min. 4 krokach, w zakresie 25÷100% za pomocą panelu sterującego. </w:t>
            </w:r>
          </w:p>
        </w:tc>
      </w:tr>
      <w:tr w:rsidR="00BC5C4A">
        <w:trPr>
          <w:cantSplit/>
          <w:trHeight w:val="45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Wyłącznik lampy, regulator </w:t>
            </w:r>
            <w:r>
              <w:rPr>
                <w:rFonts w:asciiTheme="minorHAnsi" w:hAnsiTheme="minorHAnsi" w:cs="Calibri"/>
                <w:spacing w:val="-1"/>
                <w:sz w:val="22"/>
                <w:szCs w:val="22"/>
              </w:rPr>
              <w:t>natężenia oświetlenia i temperatury barwowej oraz wyłącznik i sterownik oświetlenia endoskopowego umieszczony na panelu sterującym</w:t>
            </w:r>
          </w:p>
        </w:tc>
      </w:tr>
      <w:tr w:rsidR="00BC5C4A">
        <w:trPr>
          <w:cantSplit/>
          <w:trHeight w:val="71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</w:pPr>
            <w:bookmarkStart w:id="2" w:name="__DdeLink__706_587743829"/>
            <w:r>
              <w:rPr>
                <w:rFonts w:asciiTheme="minorHAnsi" w:hAnsiTheme="minorHAnsi" w:cs="Calibri"/>
                <w:spacing w:val="-1"/>
                <w:sz w:val="20"/>
              </w:rPr>
              <w:t>Oświetlenie endoskopowe – funkcja oświetlenia endoskopowego (kolor zielony</w:t>
            </w:r>
            <w:r>
              <w:rPr>
                <w:rFonts w:asciiTheme="minorHAnsi" w:hAnsiTheme="minorHAnsi" w:cs="Calibri"/>
                <w:spacing w:val="-1"/>
                <w:sz w:val="20"/>
                <w:highlight w:val="yellow"/>
              </w:rPr>
              <w:t xml:space="preserve"> i/lub biały)</w:t>
            </w:r>
            <w:r>
              <w:rPr>
                <w:rFonts w:asciiTheme="minorHAnsi" w:hAnsiTheme="minorHAnsi" w:cs="Calibri"/>
                <w:spacing w:val="-1"/>
                <w:sz w:val="20"/>
              </w:rPr>
              <w:t xml:space="preserve">, 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highlight w:val="yellow"/>
              </w:rPr>
              <w:t>odwracająca kierunek oświetlania o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highlight w:val="yellow"/>
              </w:rPr>
              <w:t xml:space="preserve"> 180</w:t>
            </w:r>
            <w:r>
              <w:rPr>
                <w:rFonts w:asciiTheme="minorHAnsi" w:hAnsiTheme="minorHAnsi" w:cs="Calibri"/>
                <w:strike/>
                <w:spacing w:val="-2"/>
                <w:sz w:val="20"/>
                <w:highlight w:val="yellow"/>
                <w:vertAlign w:val="superscript"/>
              </w:rPr>
              <w:t>0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highlight w:val="yellow"/>
              </w:rPr>
              <w:t xml:space="preserve"> w kierunku sufitu</w:t>
            </w:r>
            <w:r>
              <w:rPr>
                <w:rFonts w:asciiTheme="minorHAnsi" w:hAnsiTheme="minorHAnsi" w:cs="Calibri"/>
                <w:spacing w:val="-1"/>
                <w:sz w:val="20"/>
              </w:rPr>
              <w:t xml:space="preserve">, </w:t>
            </w:r>
            <w:r>
              <w:rPr>
                <w:rFonts w:asciiTheme="minorHAnsi" w:hAnsiTheme="minorHAnsi" w:cs="Calibri"/>
                <w:spacing w:val="-1"/>
                <w:sz w:val="20"/>
                <w:highlight w:val="yellow"/>
              </w:rPr>
              <w:t>nieoślepiające oraz nie powodujące odbłys</w:t>
            </w:r>
            <w:bookmarkEnd w:id="2"/>
            <w:r>
              <w:rPr>
                <w:rFonts w:asciiTheme="minorHAnsi" w:hAnsiTheme="minorHAnsi" w:cs="Calibri"/>
                <w:spacing w:val="-1"/>
                <w:sz w:val="20"/>
                <w:highlight w:val="yellow"/>
              </w:rPr>
              <w:t>ków w monitorach znajdujących się w sali operacyjnej.</w:t>
            </w:r>
          </w:p>
        </w:tc>
      </w:tr>
      <w:tr w:rsidR="00BC5C4A">
        <w:trPr>
          <w:cantSplit/>
          <w:trHeight w:val="428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Żywotność układu świetlnego – min 40 000 godzin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Maksymalne natężenie napromieniowania 500 W/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m²</w:t>
            </w:r>
            <w:proofErr w:type="spellEnd"/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</w:pPr>
            <w:bookmarkStart w:id="3" w:name="__DdeLink__467_2035065321"/>
            <w:r>
              <w:rPr>
                <w:rFonts w:asciiTheme="minorHAnsi" w:hAnsiTheme="minorHAnsi" w:cs="Calibri"/>
                <w:sz w:val="22"/>
                <w:szCs w:val="22"/>
              </w:rPr>
              <w:t xml:space="preserve">Stopień ochrony całej obudowy </w:t>
            </w:r>
            <w:r>
              <w:rPr>
                <w:rFonts w:asciiTheme="minorHAnsi" w:hAnsiTheme="minorHAnsi" w:cs="Calibri"/>
                <w:sz w:val="22"/>
                <w:szCs w:val="22"/>
              </w:rPr>
              <w:t>kopuły</w:t>
            </w:r>
            <w:bookmarkEnd w:id="3"/>
            <w:r>
              <w:rPr>
                <w:rFonts w:asciiTheme="minorHAnsi" w:hAnsiTheme="minorHAnsi" w:cs="Calibri"/>
                <w:sz w:val="22"/>
                <w:szCs w:val="22"/>
              </w:rPr>
              <w:t xml:space="preserve"> min. </w:t>
            </w:r>
            <w:r>
              <w:rPr>
                <w:rFonts w:asciiTheme="minorHAnsi" w:hAnsiTheme="minorHAnsi" w:cs="Calibri"/>
                <w:strike/>
                <w:highlight w:val="yellow"/>
              </w:rPr>
              <w:t xml:space="preserve">IP54 </w:t>
            </w:r>
            <w:r>
              <w:rPr>
                <w:rFonts w:asciiTheme="minorHAnsi" w:hAnsiTheme="minorHAnsi" w:cs="Calibri"/>
                <w:highlight w:val="yellow"/>
              </w:rPr>
              <w:t>IP44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Kopuła główna posiadająca możliwość rozbudowy o kamerę o parametrach minimalnych: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Kamera zintegrowana, umoszczona centralnie na środku kopuły głównej, osłonięta szybą ze szkła bezpiecznego lub zabezpieczona przed uszkodzeniem w inny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trwały sposób – przed m.in. stłuczeniem soczewki, porysowaniem lub zalaniem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Sterowanie parametrami pracy kamery przy pomocy modułów sterujących umieszczonych na panelu sterującym kopuły, a także z poziomu systemu zintegrowanego sali operacyjnej. Kamera w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pełni współpracująca z oferowanym w niniejszym postępowaniu systemem zintegrowanym sali operacyjnej.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Rozdzielczość sygnału wyjściowego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full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HD: HDTV 1080i/1080p (1920x1080)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Obsługiwane rozdzielczości, min.: 1080i/59,94; 1080i/50; 720p/59,94; 720p/50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Efekty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wna ilość pikseli &gt;2.070.000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Zoom optyczny min. 10x, Zoom cyfrowy min. 12x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Minimalne oświetlenie: 1,4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lux</w:t>
            </w:r>
            <w:proofErr w:type="spellEnd"/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Funkcja obrotu obrazu o min. 360</w:t>
            </w:r>
            <w:r>
              <w:rPr>
                <w:rFonts w:asciiTheme="minorHAnsi" w:hAnsiTheme="minorHAnsi" w:cs="Calibri"/>
                <w:color w:val="000000"/>
                <w:spacing w:val="-2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Proporcje obrazu wyjściowego: 16:9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Stosunek sygnał/szum (SNR) &gt;50dB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Automatyczny balans bieli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Ogniskowa obiektywu 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 zakres min.: 3,8 – 38 mm</w:t>
            </w:r>
          </w:p>
          <w:p w:rsidR="00BC5C4A" w:rsidRDefault="008F2DEF">
            <w:pPr>
              <w:pStyle w:val="Tekstpodstawowy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Migawka automatyczna pracująca w zakresie min. 1/1 do /10.000 s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Kopuła główna  przygotowana do instalacji kamery bez konieczności rozbudowy o dodatkowe okablowanie. Dostawa i montaż samej kamery nie wchodzą w zakres niniejszego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postępowania</w:t>
            </w:r>
          </w:p>
        </w:tc>
      </w:tr>
      <w:tr w:rsidR="00BC5C4A">
        <w:trPr>
          <w:cantSplit/>
          <w:trHeight w:val="510"/>
        </w:trPr>
        <w:tc>
          <w:tcPr>
            <w:tcW w:w="1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Kopuła satelitarna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Kopuła </w:t>
            </w:r>
            <w:r>
              <w:rPr>
                <w:rFonts w:asciiTheme="minorHAnsi" w:hAnsiTheme="minorHAnsi" w:cs="Calibri"/>
                <w:strike/>
                <w:sz w:val="22"/>
                <w:szCs w:val="22"/>
                <w:highlight w:val="yellow"/>
              </w:rPr>
              <w:t>główna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 satelitarna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wyposażona w moduły świetlne zawierające diody LED, ułożone symetrycznie, zapewniająca równomierne oświetlenie pola operacyjnego i maksymalną bezcieniowość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Minimalne natężenia oświetlenia w </w:t>
            </w:r>
            <w:r>
              <w:rPr>
                <w:rFonts w:asciiTheme="minorHAnsi" w:hAnsiTheme="minorHAnsi" w:cs="Calibri"/>
                <w:sz w:val="22"/>
                <w:szCs w:val="22"/>
              </w:rPr>
              <w:t>odległości 1m (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) – 120000 luksów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Temperatura barwowa regulowana w min. 3 krokach w zakresie 4000 - 4800 K. Zakres regulacji temperatury barwowej, niezależnie od natężenia światła</w:t>
            </w:r>
          </w:p>
        </w:tc>
      </w:tr>
      <w:tr w:rsidR="00BC5C4A">
        <w:trPr>
          <w:cantSplit/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Minimalny zakres wielkości pola operacyjnego każdej czaszy dla </w:t>
            </w:r>
            <w:r>
              <w:rPr>
                <w:rFonts w:asciiTheme="minorHAnsi" w:hAnsiTheme="minorHAnsi"/>
                <w:sz w:val="22"/>
                <w:szCs w:val="22"/>
              </w:rPr>
              <w:t>(D10-D50): 14 – 28 cm</w:t>
            </w:r>
          </w:p>
          <w:p w:rsidR="00BC5C4A" w:rsidRDefault="008F2DE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D10 – średnica pola świetlnego dla 10% maksymalnej mocy oświetlenia, zgodnie z EN-60601-2-41</w:t>
            </w:r>
          </w:p>
          <w:p w:rsidR="00BC5C4A" w:rsidRDefault="008F2DE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D50 – średnica pola świetlnego dla 50% maksymalnej mocy oświetlenia, zgodnie z EN-60601-2-41</w:t>
            </w:r>
          </w:p>
        </w:tc>
      </w:tr>
      <w:tr w:rsidR="00BC5C4A">
        <w:trPr>
          <w:cantSplit/>
          <w:trHeight w:val="45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Współczynnik odwzorowania barw (Ra) nie </w:t>
            </w:r>
            <w:r>
              <w:rPr>
                <w:rFonts w:asciiTheme="minorHAnsi" w:hAnsiTheme="minorHAnsi" w:cs="Calibri"/>
                <w:sz w:val="22"/>
                <w:szCs w:val="22"/>
              </w:rPr>
              <w:t>mniejszy niż 95</w:t>
            </w:r>
          </w:p>
        </w:tc>
      </w:tr>
      <w:tr w:rsidR="00BC5C4A">
        <w:trPr>
          <w:cantSplit/>
          <w:trHeight w:val="688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Współczynnik odwzorowania barwy dominującej , tj. barwy czerwonej (R9) nie mniejszy niż 93</w:t>
            </w:r>
          </w:p>
        </w:tc>
      </w:tr>
      <w:tr w:rsidR="00BC5C4A">
        <w:trPr>
          <w:cantSplit/>
          <w:trHeight w:val="688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Wgłębność oświetlenia (L1+L2 względem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)  – minimum 120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cm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BC5C4A">
        <w:trPr>
          <w:cantSplit/>
          <w:trHeight w:val="45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Kopuła zamocowana na podwójnym ramieniu o zasięgu min. 175 cm</w:t>
            </w:r>
          </w:p>
        </w:tc>
      </w:tr>
      <w:tr w:rsidR="00BC5C4A">
        <w:trPr>
          <w:cantSplit/>
          <w:trHeight w:val="71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Natężenie światła regulowane elektronicznie w min. 4 stopniach, w zakresie 25÷100% </w:t>
            </w:r>
          </w:p>
        </w:tc>
      </w:tr>
      <w:tr w:rsidR="00BC5C4A">
        <w:trPr>
          <w:cantSplit/>
          <w:trHeight w:val="478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1"/>
                <w:sz w:val="22"/>
                <w:szCs w:val="22"/>
              </w:rPr>
              <w:t>Wyłącznik lampy, regulator natężenia oświetlenia i temperatury barwowej oraz wyłącznik i sterownik oświetlenia endoskopowego umieszczony na panelu sterującym</w:t>
            </w:r>
          </w:p>
        </w:tc>
      </w:tr>
      <w:tr w:rsidR="00BC5C4A">
        <w:trPr>
          <w:cantSplit/>
          <w:trHeight w:val="71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</w:pPr>
            <w:bookmarkStart w:id="4" w:name="__DdeLink__706_5877438291"/>
            <w:r>
              <w:rPr>
                <w:rFonts w:asciiTheme="minorHAnsi" w:hAnsiTheme="minorHAnsi" w:cs="Calibri"/>
                <w:spacing w:val="-1"/>
                <w:sz w:val="20"/>
              </w:rPr>
              <w:t>Oświetlenie endoskopowe – funkcja oświetlenia endoskopowego (kolor zielony</w:t>
            </w:r>
            <w:r>
              <w:rPr>
                <w:rFonts w:asciiTheme="minorHAnsi" w:hAnsiTheme="minorHAnsi" w:cs="Calibri"/>
                <w:spacing w:val="-1"/>
                <w:sz w:val="20"/>
                <w:highlight w:val="yellow"/>
              </w:rPr>
              <w:t xml:space="preserve"> i/lub biały)</w:t>
            </w:r>
            <w:r>
              <w:rPr>
                <w:rFonts w:asciiTheme="minorHAnsi" w:hAnsiTheme="minorHAnsi" w:cs="Calibri"/>
                <w:spacing w:val="-1"/>
                <w:sz w:val="20"/>
              </w:rPr>
              <w:t xml:space="preserve">, 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highlight w:val="yellow"/>
              </w:rPr>
              <w:t>odwracająca kierunek oświetlania o 180</w:t>
            </w:r>
            <w:r>
              <w:rPr>
                <w:rFonts w:asciiTheme="minorHAnsi" w:hAnsiTheme="minorHAnsi" w:cs="Calibri"/>
                <w:strike/>
                <w:spacing w:val="-2"/>
                <w:sz w:val="20"/>
                <w:highlight w:val="yellow"/>
                <w:vertAlign w:val="superscript"/>
              </w:rPr>
              <w:t>0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highlight w:val="yellow"/>
              </w:rPr>
              <w:t xml:space="preserve"> w kierunku sufitu</w:t>
            </w:r>
            <w:r>
              <w:rPr>
                <w:rFonts w:asciiTheme="minorHAnsi" w:hAnsiTheme="minorHAnsi" w:cs="Calibri"/>
                <w:spacing w:val="-1"/>
                <w:sz w:val="20"/>
              </w:rPr>
              <w:t xml:space="preserve">, </w:t>
            </w:r>
            <w:r>
              <w:rPr>
                <w:rFonts w:asciiTheme="minorHAnsi" w:hAnsiTheme="minorHAnsi" w:cs="Calibri"/>
                <w:spacing w:val="-1"/>
                <w:sz w:val="20"/>
                <w:highlight w:val="yellow"/>
              </w:rPr>
              <w:t>nieoślepiające oraz nie powodujące odbłys</w:t>
            </w:r>
            <w:bookmarkEnd w:id="4"/>
            <w:r>
              <w:rPr>
                <w:rFonts w:asciiTheme="minorHAnsi" w:hAnsiTheme="minorHAnsi" w:cs="Calibri"/>
                <w:spacing w:val="-1"/>
                <w:sz w:val="20"/>
                <w:highlight w:val="yellow"/>
              </w:rPr>
              <w:t>ków w monitorach znajdujących się w sali operacyjnej</w:t>
            </w:r>
          </w:p>
        </w:tc>
      </w:tr>
      <w:tr w:rsidR="00BC5C4A">
        <w:trPr>
          <w:cantSplit/>
          <w:trHeight w:val="368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Żywotność </w:t>
            </w:r>
            <w:r>
              <w:rPr>
                <w:rFonts w:asciiTheme="minorHAnsi" w:hAnsiTheme="minorHAnsi" w:cs="Calibri"/>
                <w:sz w:val="22"/>
                <w:szCs w:val="22"/>
              </w:rPr>
              <w:t>układu świetlnego – min 40 000 godzin</w:t>
            </w:r>
          </w:p>
        </w:tc>
      </w:tr>
      <w:tr w:rsidR="00BC5C4A">
        <w:trPr>
          <w:cantSplit/>
          <w:trHeight w:val="40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Maksymalne natężenie napromieniowania 500 W/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m²</w:t>
            </w:r>
            <w:proofErr w:type="spellEnd"/>
          </w:p>
        </w:tc>
      </w:tr>
      <w:tr w:rsidR="00BC5C4A">
        <w:trPr>
          <w:cantSplit/>
          <w:trHeight w:val="40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BC5C4A">
            <w:pPr>
              <w:pStyle w:val="Tekstpodstawowywcity"/>
              <w:numPr>
                <w:ilvl w:val="0"/>
                <w:numId w:val="4"/>
              </w:numPr>
              <w:spacing w:after="0" w:line="276" w:lineRule="auto"/>
              <w:ind w:left="0" w:firstLin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5C4A" w:rsidRDefault="008F2DEF">
            <w:pPr>
              <w:snapToGrid w:val="0"/>
              <w:spacing w:line="276" w:lineRule="auto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Stopień ochrony całej obudowy kopuły min. </w:t>
            </w:r>
            <w:r>
              <w:rPr>
                <w:rFonts w:asciiTheme="minorHAnsi" w:hAnsiTheme="minorHAnsi" w:cs="Calibri"/>
                <w:strike/>
                <w:highlight w:val="yellow"/>
              </w:rPr>
              <w:t xml:space="preserve">IP54 </w:t>
            </w:r>
            <w:r>
              <w:rPr>
                <w:rFonts w:asciiTheme="minorHAnsi" w:hAnsiTheme="minorHAnsi" w:cs="Calibri"/>
                <w:highlight w:val="yellow"/>
              </w:rPr>
              <w:t>IP44</w:t>
            </w:r>
          </w:p>
        </w:tc>
      </w:tr>
    </w:tbl>
    <w:p w:rsidR="00BC5C4A" w:rsidRDefault="00BC5C4A">
      <w:pPr>
        <w:jc w:val="both"/>
        <w:rPr>
          <w:rFonts w:asciiTheme="minorHAnsi" w:hAnsiTheme="minorHAnsi"/>
          <w:sz w:val="22"/>
          <w:szCs w:val="22"/>
        </w:rPr>
      </w:pPr>
    </w:p>
    <w:p w:rsidR="00BC5C4A" w:rsidRDefault="00BC5C4A">
      <w:pPr>
        <w:jc w:val="both"/>
        <w:rPr>
          <w:rFonts w:asciiTheme="minorHAnsi" w:hAnsiTheme="minorHAnsi"/>
          <w:sz w:val="22"/>
          <w:szCs w:val="22"/>
        </w:rPr>
      </w:pPr>
    </w:p>
    <w:p w:rsidR="00BC5C4A" w:rsidRDefault="008F2DEF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Warunki rękojmi i gwarancji dla lamp operacyjnych</w:t>
      </w:r>
    </w:p>
    <w:p w:rsidR="00BC5C4A" w:rsidRDefault="00BC5C4A">
      <w:pPr>
        <w:spacing w:line="360" w:lineRule="auto"/>
        <w:jc w:val="center"/>
        <w:rPr>
          <w:rFonts w:ascii="Tahoma" w:hAnsi="Tahoma" w:cs="Tahoma"/>
        </w:rPr>
      </w:pP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Wykonawca oświadcza, że przedmiot umowy jest wolny od wszelkich wad fizycznych. 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2. Przez wadę fizyczną rozumie się w szczególności jakąkolwiek niezgodność towaru z opisem przedmiotu umowy zawartym w załączniku nr 9 do OPZ.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3. Wykonawca oświadcza, że </w:t>
      </w:r>
      <w:r>
        <w:rPr>
          <w:rFonts w:asciiTheme="minorHAnsi" w:hAnsiTheme="minorHAnsi" w:cs="Tahoma"/>
          <w:sz w:val="22"/>
          <w:szCs w:val="22"/>
        </w:rPr>
        <w:t>przedmiot umowy jest wolny od wszelkich wad prawnych towaru, w tym również ewentualnych roszczeń osób trzecich wynikających z naruszenia praw własności intelektualnej lub przemysłowej, w tym praw autorskich, patentów, praw ochronnych na znaki towarowe oraz</w:t>
      </w:r>
      <w:r>
        <w:rPr>
          <w:rFonts w:asciiTheme="minorHAnsi" w:hAnsiTheme="minorHAnsi" w:cs="Tahoma"/>
          <w:sz w:val="22"/>
          <w:szCs w:val="22"/>
        </w:rPr>
        <w:t xml:space="preserve"> praw z rejestracji na wzory użytkowe i przemysłowe, pozostających w związku z wprowadzeniem towaru do obrotu na terytorium Rzeczypospolitej Polskiej, oraz nie stanowi przedmiotu żadnego zabezpieczenia, ani toczącego się postępowania.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4. </w:t>
      </w:r>
      <w:r>
        <w:rPr>
          <w:rFonts w:asciiTheme="minorHAnsi" w:hAnsiTheme="minorHAnsi" w:cs="Tahoma"/>
          <w:color w:val="000000"/>
          <w:sz w:val="22"/>
          <w:szCs w:val="22"/>
        </w:rPr>
        <w:t>Jeżeli podczas odb</w:t>
      </w:r>
      <w:r>
        <w:rPr>
          <w:rFonts w:asciiTheme="minorHAnsi" w:hAnsiTheme="minorHAnsi" w:cs="Tahoma"/>
          <w:color w:val="000000"/>
          <w:sz w:val="22"/>
          <w:szCs w:val="22"/>
        </w:rPr>
        <w:t>ioru okaże się, że wadliwe są części składowe lub cały przedmiot umowy, to odpowiednio, wadliwe części składowe przedmiotu zamówienia lub cały przedmiot zamówienia podlega wymianie na wolny od wad w terminie 5 dni roboczych (dni od poniedziałku do piątku z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wyłączeniem dni ustawowo wolnych od pracy) od daty uznania reklamacji za zasadną przez Wykonawcę. Wykonawcy przysługuje 1 dzień roboczy od zgłoszenia reklamacji na jej rozpatrzenie. Brak odpowiedzi na zgłoszenie Zamawiającego przyjęte zostanie jako uznani</w:t>
      </w:r>
      <w:r>
        <w:rPr>
          <w:rFonts w:asciiTheme="minorHAnsi" w:hAnsiTheme="minorHAnsi" w:cs="Tahoma"/>
          <w:color w:val="000000"/>
          <w:sz w:val="22"/>
          <w:szCs w:val="22"/>
        </w:rPr>
        <w:t>e reklamacji. W okresie gwarancji sprzęt będzie serwisowany przez autoryzowany serwis Wykonawcy na koszt Wykonawcy.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5. Wykonawca dostarczy zamienny – pozbawiony wad i braków – element takiego samego towaru bez wad, na swój koszt i ryzyko. Towar zamienny po</w:t>
      </w:r>
      <w:r>
        <w:rPr>
          <w:rFonts w:asciiTheme="minorHAnsi" w:hAnsiTheme="minorHAnsi" w:cs="Tahoma"/>
          <w:sz w:val="22"/>
          <w:szCs w:val="22"/>
        </w:rPr>
        <w:t>dlega odrębnemu odbiorowi jakościowemu i ilościowemu.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6. Zamawiający może wykonywać uprawnienia z tytułu gwarancji niezależnie od uprawnień z tytułu rękojmi za wady fizyczne towarów.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7. W okresie gwarancji, Wykonawca zobowiązany jest do wykonywania przeglą</w:t>
      </w:r>
      <w:r>
        <w:rPr>
          <w:rFonts w:asciiTheme="minorHAnsi" w:hAnsiTheme="minorHAnsi" w:cs="Tahoma"/>
          <w:sz w:val="22"/>
          <w:szCs w:val="22"/>
        </w:rPr>
        <w:t>dów technicznych i napraw dostarczonego sprzętu zgodnie z</w:t>
      </w:r>
      <w:r>
        <w:rPr>
          <w:rFonts w:asciiTheme="minorHAnsi" w:hAnsiTheme="minorHAnsi" w:cs="Tahoma"/>
          <w:bCs/>
          <w:sz w:val="22"/>
          <w:szCs w:val="22"/>
        </w:rPr>
        <w:t xml:space="preserve"> zaleceniami producenta oraz obowiązującymi przepisami prawa – bez odrębnego wynagrodzenia</w:t>
      </w:r>
      <w:r>
        <w:rPr>
          <w:rFonts w:asciiTheme="minorHAnsi" w:hAnsiTheme="minorHAnsi" w:cs="Tahoma"/>
          <w:sz w:val="22"/>
          <w:szCs w:val="22"/>
        </w:rPr>
        <w:t>, w terminach wskazanych przez producenta tożsamymi z zapisami w paszportach technicznych Sprzętu Medycznego.</w:t>
      </w:r>
      <w:r>
        <w:rPr>
          <w:rFonts w:asciiTheme="minorHAnsi" w:hAnsiTheme="minorHAnsi" w:cs="Tahoma"/>
          <w:sz w:val="22"/>
          <w:szCs w:val="22"/>
        </w:rPr>
        <w:t xml:space="preserve"> Przed dokonaniem przeglądu Wykonawca zobowiązuje się uzgodnić jego termin z Zamawiającym Ponadto w ostatnim miesiącu obowiązywania umowy Wykonawca zobowiązuje się (po uprzednim uzgodnieniu z Zamawiającym ) przeprowadzić przegląd urządzenia, jeżeli od czas</w:t>
      </w:r>
      <w:r>
        <w:rPr>
          <w:rFonts w:asciiTheme="minorHAnsi" w:hAnsiTheme="minorHAnsi" w:cs="Tahoma"/>
          <w:sz w:val="22"/>
          <w:szCs w:val="22"/>
        </w:rPr>
        <w:t>u przeprowadzenia poprzedniego minęło więcej niż 6 miesięcy.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Przestrzeganie harmonogramu przeglądów sprzętu w okresie gwarancji pozostaje po stronie Wykonawcy.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8. Wykonawca w okresie gwarancji, w przypadku trzykrotnej uzasadnionej reklamacji tej samej częś</w:t>
      </w:r>
      <w:r>
        <w:rPr>
          <w:rFonts w:asciiTheme="minorHAnsi" w:hAnsiTheme="minorHAnsi" w:cs="Tahoma"/>
          <w:color w:val="000000"/>
          <w:sz w:val="22"/>
          <w:szCs w:val="22"/>
        </w:rPr>
        <w:t>ci urządzenia wymieni tę część na nową w terminie 3 dni roboczych od daty zgłoszenia trzeciej reklamacji, a w przypadku 5 uzasadnionych reklamacji tej samej części urządzenia wymieni urządzenie na nowe w terminie 3 dni roboczych od daty zgłoszenia piątej r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eklamacji. Reklamacje będą zgłaszane </w:t>
      </w:r>
      <w:r>
        <w:rPr>
          <w:rFonts w:asciiTheme="minorHAnsi" w:hAnsiTheme="minorHAnsi" w:cs="Tahoma"/>
          <w:sz w:val="22"/>
          <w:szCs w:val="22"/>
        </w:rPr>
        <w:t>pisemnie na adres wskazany przez Zamawiającego.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9. Wykonawca na dostarczony sprzęt udziela …........…. </w:t>
      </w:r>
      <w:r>
        <w:rPr>
          <w:rFonts w:asciiTheme="minorHAnsi" w:hAnsiTheme="minorHAnsi" w:cs="Tahoma"/>
          <w:bCs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 xml:space="preserve">iesięcznej gwarancji, liczonej od daty bezusterkowego, protokolarnego odbioru sprzętu przez Zamawiającego.    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10. </w:t>
      </w:r>
      <w:r>
        <w:rPr>
          <w:rFonts w:asciiTheme="minorHAnsi" w:hAnsiTheme="minorHAnsi" w:cs="Tahoma"/>
          <w:sz w:val="22"/>
          <w:szCs w:val="22"/>
        </w:rPr>
        <w:t>Wykonawca zobowiązany jest przystąpić do naprawy wady/usterki sprzętu zgłoszonej w okresie gwarancji w terminie do 24 godzin w dni robocze od złożenia zgłoszenia pisemnie na adres wskazany w umowie lub faksem na numer wskazany w ust. 7 lub e - mailem na ad</w:t>
      </w:r>
      <w:r>
        <w:rPr>
          <w:rFonts w:asciiTheme="minorHAnsi" w:hAnsiTheme="minorHAnsi" w:cs="Tahoma"/>
          <w:sz w:val="22"/>
          <w:szCs w:val="22"/>
        </w:rPr>
        <w:t>res wskazany w ust. 7</w:t>
      </w:r>
      <w:r>
        <w:rPr>
          <w:rFonts w:asciiTheme="minorHAnsi" w:hAnsiTheme="minorHAnsi" w:cs="Tahoma"/>
          <w:color w:val="FF0000"/>
          <w:sz w:val="22"/>
          <w:szCs w:val="22"/>
        </w:rPr>
        <w:t xml:space="preserve"> 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11. Zgłoszona w trybie określonym w ust. 10 wada/usterka winna być usunięta w terminie do 3 dni roboczych od momentu zgłoszenia</w:t>
      </w:r>
      <w:r>
        <w:rPr>
          <w:rFonts w:asciiTheme="minorHAnsi" w:hAnsiTheme="minorHAnsi" w:cs="Tahoma"/>
          <w:color w:val="0000FF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>awarii</w:t>
      </w:r>
      <w:r>
        <w:rPr>
          <w:rFonts w:asciiTheme="minorHAnsi" w:hAnsiTheme="minorHAnsi" w:cs="Tahoma"/>
          <w:color w:val="0000FF"/>
          <w:sz w:val="22"/>
          <w:szCs w:val="22"/>
        </w:rPr>
        <w:t>,</w:t>
      </w:r>
      <w:r>
        <w:rPr>
          <w:rFonts w:asciiTheme="minorHAnsi" w:hAnsiTheme="minorHAnsi" w:cs="Tahoma"/>
          <w:sz w:val="22"/>
          <w:szCs w:val="22"/>
        </w:rPr>
        <w:t xml:space="preserve"> z zastrzeżeniem ust. 12.</w:t>
      </w:r>
    </w:p>
    <w:p w:rsidR="00BC5C4A" w:rsidRDefault="008F2DEF">
      <w:pPr>
        <w:pStyle w:val="Tekstpodstawowy22"/>
        <w:spacing w:after="0" w:line="360" w:lineRule="auto"/>
        <w:jc w:val="both"/>
        <w:rPr>
          <w:rFonts w:asciiTheme="minorHAnsi" w:hAnsiTheme="minorHAnsi"/>
        </w:rPr>
      </w:pPr>
      <w:r>
        <w:rPr>
          <w:rFonts w:cs="Tahoma"/>
        </w:rPr>
        <w:lastRenderedPageBreak/>
        <w:t xml:space="preserve">12. </w:t>
      </w:r>
      <w:r>
        <w:rPr>
          <w:rFonts w:cs="Tahoma"/>
          <w:color w:val="000000"/>
        </w:rPr>
        <w:t>Jeżeli dla usunięcia wady/usterki zgłoszonej w trybie określonym w u</w:t>
      </w:r>
      <w:r>
        <w:rPr>
          <w:rFonts w:cs="Tahoma"/>
          <w:color w:val="000000"/>
        </w:rPr>
        <w:t>st. 10 konieczne jest sprowadzenie części zamiennych spoza granic Polski, wada/usterka usunięta być powinna w terminie 4 dni roboczych od otrzymania zgłoszenia reklamacji zgodnie z ust. 4 powyżej.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13. W przypadku, gdy naprawa potrwa dłużej niż 3 dni robocz</w:t>
      </w:r>
      <w:r>
        <w:rPr>
          <w:rFonts w:asciiTheme="minorHAnsi" w:hAnsiTheme="minorHAnsi" w:cs="Tahoma"/>
          <w:color w:val="000000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 xml:space="preserve"> Wykonawca zobowiązuje się do dostarczenia w tym terminie sprzętu zastępczego, na swój koszt, o parametrach i właściwościach nie niższych niż sprzęt naprawiany. 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14. W przypadku wykonania naprawy gwarancyjnej – potwierdzeniem wykonania usługi będzie karta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pracy serwisu podpisana przez upoważnionego przedstawiciela Zamawiającego oraz wystawienie przez Wykonawcę certyfikatu dopuszczenia sprzętu do eksploatacji klinicznej oraz wpis do Paszportu urządzenia Wpisy powinny zawierać w szczególności treść: sprzęt s</w:t>
      </w:r>
      <w:r>
        <w:rPr>
          <w:rFonts w:asciiTheme="minorHAnsi" w:hAnsiTheme="minorHAnsi" w:cs="Tahoma"/>
          <w:color w:val="000000"/>
          <w:sz w:val="22"/>
          <w:szCs w:val="22"/>
        </w:rPr>
        <w:t>prawny, datę kolejnego przeglądu – dzień, miesiąc, rok - potwierdzone czytelnym podpisem serwisanta.</w:t>
      </w:r>
    </w:p>
    <w:p w:rsidR="00BC5C4A" w:rsidRDefault="008F2DEF">
      <w:pPr>
        <w:pStyle w:val="Tekstpodstawowy"/>
        <w:tabs>
          <w:tab w:val="left" w:pos="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15. </w:t>
      </w:r>
      <w:r>
        <w:rPr>
          <w:rFonts w:asciiTheme="minorHAnsi" w:hAnsiTheme="minorHAnsi" w:cs="Tahoma"/>
          <w:sz w:val="22"/>
          <w:szCs w:val="22"/>
        </w:rPr>
        <w:t>Każda naprawa gwarancyjna powoduje przedłużenie okresu gwarancji o czas przestoju urządzenia spowodowanego naprawą.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16. Koszty przeglądów, napraw gwara</w:t>
      </w:r>
      <w:r>
        <w:rPr>
          <w:rFonts w:asciiTheme="minorHAnsi" w:hAnsiTheme="minorHAnsi" w:cs="Tahoma"/>
          <w:color w:val="000000"/>
          <w:sz w:val="22"/>
          <w:szCs w:val="22"/>
        </w:rPr>
        <w:t>ncyjnych i innych czynności, do których wykonania zobowiązany jest Wykonawca w pełnej wysokości obciążają Wykonawcę i obejmują w szczególności koszty dojazdu, transportu, materiałów, narzędzi, robocizny itp.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17. Wykonawca zobowiązany jest do zapewnienia dz</w:t>
      </w:r>
      <w:r>
        <w:rPr>
          <w:rFonts w:asciiTheme="minorHAnsi" w:hAnsiTheme="minorHAnsi" w:cs="Tahoma"/>
          <w:color w:val="000000"/>
          <w:sz w:val="22"/>
          <w:szCs w:val="22"/>
        </w:rPr>
        <w:t>iałania faksu i łączy elektronicznych (e-mail) wskazanych w ust. 7</w:t>
      </w:r>
    </w:p>
    <w:p w:rsidR="00BC5C4A" w:rsidRDefault="008F2DEF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18. Wykonawca zapewnia autoryzowany serwis gwarancyjny i pogwarancyjny na terytorium Rzeczypospolitej Polskiej.</w:t>
      </w:r>
    </w:p>
    <w:p w:rsidR="00BC5C4A" w:rsidRDefault="008F2D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19. Wykonawca z</w:t>
      </w:r>
      <w:r>
        <w:rPr>
          <w:rFonts w:asciiTheme="minorHAnsi" w:hAnsiTheme="minorHAnsi" w:cs="Tahoma"/>
          <w:sz w:val="22"/>
          <w:szCs w:val="22"/>
        </w:rPr>
        <w:t xml:space="preserve">apewnia dostępność części zamiennych i materiałów eksploatacyjnych przez okres min. 10 lat od daty zainstalowania systemu. </w:t>
      </w:r>
    </w:p>
    <w:p w:rsidR="00BC5C4A" w:rsidRDefault="00BC5C4A">
      <w:pPr>
        <w:jc w:val="both"/>
        <w:rPr>
          <w:rFonts w:asciiTheme="minorHAnsi" w:hAnsiTheme="minorHAnsi"/>
          <w:sz w:val="22"/>
          <w:szCs w:val="22"/>
        </w:rPr>
      </w:pPr>
    </w:p>
    <w:p w:rsidR="00BC5C4A" w:rsidRDefault="008F2DEF">
      <w:pPr>
        <w:jc w:val="both"/>
      </w:pPr>
      <w:r>
        <w:rPr>
          <w:rFonts w:asciiTheme="minorHAnsi" w:hAnsiTheme="minorHAnsi"/>
          <w:sz w:val="22"/>
          <w:szCs w:val="22"/>
        </w:rPr>
        <w:t>Powyższe zapisy Wykonawca zobowiązany jest umieścić w Umowie z dostawcą przedmiotu zamówienia opisanego w załączniku nr 9 do OPZ.</w:t>
      </w:r>
    </w:p>
    <w:sectPr w:rsidR="00BC5C4A" w:rsidSect="00BC5C4A">
      <w:headerReference w:type="default" r:id="rId7"/>
      <w:footerReference w:type="default" r:id="rId8"/>
      <w:pgSz w:w="16838" w:h="11906" w:orient="landscape"/>
      <w:pgMar w:top="1276" w:right="1418" w:bottom="1276" w:left="1418" w:header="567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EF" w:rsidRDefault="008F2DEF" w:rsidP="00BC5C4A">
      <w:r>
        <w:separator/>
      </w:r>
    </w:p>
  </w:endnote>
  <w:endnote w:type="continuationSeparator" w:id="0">
    <w:p w:rsidR="008F2DEF" w:rsidRDefault="008F2DEF" w:rsidP="00BC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4A" w:rsidRDefault="00BC5C4A">
    <w:pPr>
      <w:tabs>
        <w:tab w:val="left" w:pos="0"/>
      </w:tabs>
      <w:ind w:right="70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EF" w:rsidRDefault="008F2DEF" w:rsidP="00BC5C4A">
      <w:r>
        <w:separator/>
      </w:r>
    </w:p>
  </w:footnote>
  <w:footnote w:type="continuationSeparator" w:id="0">
    <w:p w:rsidR="008F2DEF" w:rsidRDefault="008F2DEF" w:rsidP="00BC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4A" w:rsidRDefault="00BC5C4A">
    <w:pPr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E4E"/>
    <w:multiLevelType w:val="multilevel"/>
    <w:tmpl w:val="F2C28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9A3CD5"/>
    <w:multiLevelType w:val="multilevel"/>
    <w:tmpl w:val="CBBC94F6"/>
    <w:lvl w:ilvl="0">
      <w:start w:val="1"/>
      <w:numFmt w:val="none"/>
      <w:pStyle w:val="Heading1"/>
      <w:suff w:val="nothing"/>
      <w:lvlText w:val="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Heading4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C14C54"/>
    <w:multiLevelType w:val="multilevel"/>
    <w:tmpl w:val="F19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AF4354C"/>
    <w:multiLevelType w:val="multilevel"/>
    <w:tmpl w:val="B60E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C4838A4"/>
    <w:multiLevelType w:val="multilevel"/>
    <w:tmpl w:val="3EC0B95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C4A"/>
    <w:rsid w:val="00760BD1"/>
    <w:rsid w:val="008F2DEF"/>
    <w:rsid w:val="00B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EA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3B53EA"/>
    <w:pPr>
      <w:keepNext/>
      <w:numPr>
        <w:numId w:val="1"/>
      </w:numPr>
      <w:outlineLvl w:val="0"/>
    </w:pPr>
    <w:rPr>
      <w:b/>
      <w:bCs/>
      <w:sz w:val="28"/>
      <w:szCs w:val="28"/>
      <w:u w:val="single"/>
    </w:rPr>
  </w:style>
  <w:style w:type="paragraph" w:customStyle="1" w:styleId="Heading2">
    <w:name w:val="Heading 2"/>
    <w:basedOn w:val="Heading1"/>
    <w:qFormat/>
    <w:rsid w:val="003B53EA"/>
    <w:pPr>
      <w:numPr>
        <w:ilvl w:val="1"/>
      </w:numPr>
      <w:outlineLvl w:val="1"/>
    </w:pPr>
    <w:rPr>
      <w:u w:val="none"/>
    </w:rPr>
  </w:style>
  <w:style w:type="paragraph" w:customStyle="1" w:styleId="Heading3">
    <w:name w:val="Heading 3"/>
    <w:basedOn w:val="Heading2"/>
    <w:qFormat/>
    <w:rsid w:val="003B53EA"/>
    <w:pPr>
      <w:numPr>
        <w:ilvl w:val="2"/>
      </w:numPr>
      <w:tabs>
        <w:tab w:val="left" w:pos="360"/>
        <w:tab w:val="left" w:pos="1980"/>
      </w:tabs>
      <w:ind w:left="1980" w:hanging="360"/>
      <w:outlineLvl w:val="2"/>
    </w:pPr>
  </w:style>
  <w:style w:type="paragraph" w:customStyle="1" w:styleId="Heading4">
    <w:name w:val="Heading 4"/>
    <w:basedOn w:val="Normalny"/>
    <w:qFormat/>
    <w:rsid w:val="003B53EA"/>
    <w:pPr>
      <w:keepNext/>
      <w:numPr>
        <w:ilvl w:val="3"/>
        <w:numId w:val="1"/>
      </w:numPr>
      <w:suppressAutoHyphens w:val="0"/>
      <w:jc w:val="center"/>
      <w:outlineLvl w:val="3"/>
    </w:pPr>
    <w:rPr>
      <w:b/>
    </w:rPr>
  </w:style>
  <w:style w:type="paragraph" w:customStyle="1" w:styleId="Heading8">
    <w:name w:val="Heading 8"/>
    <w:basedOn w:val="Normalny"/>
    <w:qFormat/>
    <w:rsid w:val="003B53EA"/>
    <w:pPr>
      <w:spacing w:before="240" w:after="60"/>
      <w:outlineLvl w:val="7"/>
    </w:pPr>
    <w:rPr>
      <w:i/>
      <w:iCs/>
      <w:sz w:val="24"/>
      <w:szCs w:val="24"/>
    </w:rPr>
  </w:style>
  <w:style w:type="character" w:customStyle="1" w:styleId="WW8Num1z0">
    <w:name w:val="WW8Num1z0"/>
    <w:qFormat/>
    <w:rsid w:val="003B53EA"/>
    <w:rPr>
      <w:rFonts w:cs="Times New Roman"/>
    </w:rPr>
  </w:style>
  <w:style w:type="character" w:customStyle="1" w:styleId="WW8Num1z3">
    <w:name w:val="WW8Num1z3"/>
    <w:qFormat/>
    <w:rsid w:val="003B53EA"/>
  </w:style>
  <w:style w:type="character" w:customStyle="1" w:styleId="WW8Num1z4">
    <w:name w:val="WW8Num1z4"/>
    <w:qFormat/>
    <w:rsid w:val="003B53EA"/>
  </w:style>
  <w:style w:type="character" w:customStyle="1" w:styleId="WW8Num1z5">
    <w:name w:val="WW8Num1z5"/>
    <w:qFormat/>
    <w:rsid w:val="003B53EA"/>
  </w:style>
  <w:style w:type="character" w:customStyle="1" w:styleId="WW8Num1z6">
    <w:name w:val="WW8Num1z6"/>
    <w:qFormat/>
    <w:rsid w:val="003B53EA"/>
  </w:style>
  <w:style w:type="character" w:customStyle="1" w:styleId="WW8Num1z7">
    <w:name w:val="WW8Num1z7"/>
    <w:qFormat/>
    <w:rsid w:val="003B53EA"/>
  </w:style>
  <w:style w:type="character" w:customStyle="1" w:styleId="WW8Num1z8">
    <w:name w:val="WW8Num1z8"/>
    <w:qFormat/>
    <w:rsid w:val="003B53EA"/>
  </w:style>
  <w:style w:type="character" w:customStyle="1" w:styleId="WW8Num2z0">
    <w:name w:val="WW8Num2z0"/>
    <w:qFormat/>
    <w:rsid w:val="003B53EA"/>
    <w:rPr>
      <w:rFonts w:ascii="Symbol" w:hAnsi="Symbol" w:cs="Symbol"/>
    </w:rPr>
  </w:style>
  <w:style w:type="character" w:customStyle="1" w:styleId="WW8Num2z1">
    <w:name w:val="WW8Num2z1"/>
    <w:qFormat/>
    <w:rsid w:val="003B53EA"/>
  </w:style>
  <w:style w:type="character" w:customStyle="1" w:styleId="WW8Num2z2">
    <w:name w:val="WW8Num2z2"/>
    <w:qFormat/>
    <w:rsid w:val="003B53EA"/>
  </w:style>
  <w:style w:type="character" w:customStyle="1" w:styleId="WW8Num2z3">
    <w:name w:val="WW8Num2z3"/>
    <w:qFormat/>
    <w:rsid w:val="003B53EA"/>
  </w:style>
  <w:style w:type="character" w:customStyle="1" w:styleId="WW8Num2z4">
    <w:name w:val="WW8Num2z4"/>
    <w:qFormat/>
    <w:rsid w:val="003B53EA"/>
  </w:style>
  <w:style w:type="character" w:customStyle="1" w:styleId="WW8Num2z5">
    <w:name w:val="WW8Num2z5"/>
    <w:qFormat/>
    <w:rsid w:val="003B53EA"/>
  </w:style>
  <w:style w:type="character" w:customStyle="1" w:styleId="WW8Num2z6">
    <w:name w:val="WW8Num2z6"/>
    <w:qFormat/>
    <w:rsid w:val="003B53EA"/>
  </w:style>
  <w:style w:type="character" w:customStyle="1" w:styleId="WW8Num2z7">
    <w:name w:val="WW8Num2z7"/>
    <w:qFormat/>
    <w:rsid w:val="003B53EA"/>
  </w:style>
  <w:style w:type="character" w:customStyle="1" w:styleId="WW8Num2z8">
    <w:name w:val="WW8Num2z8"/>
    <w:qFormat/>
    <w:rsid w:val="003B53EA"/>
  </w:style>
  <w:style w:type="character" w:customStyle="1" w:styleId="WW8Num3z0">
    <w:name w:val="WW8Num3z0"/>
    <w:qFormat/>
    <w:rsid w:val="003B53EA"/>
    <w:rPr>
      <w:rFonts w:cs="Times New Roman"/>
    </w:rPr>
  </w:style>
  <w:style w:type="character" w:customStyle="1" w:styleId="WW8Num4z0">
    <w:name w:val="WW8Num4z0"/>
    <w:qFormat/>
    <w:rsid w:val="003B53EA"/>
  </w:style>
  <w:style w:type="character" w:customStyle="1" w:styleId="WW8Num5z0">
    <w:name w:val="WW8Num5z0"/>
    <w:qFormat/>
    <w:rsid w:val="003B53EA"/>
    <w:rPr>
      <w:rFonts w:cs="Times New Roman"/>
    </w:rPr>
  </w:style>
  <w:style w:type="character" w:customStyle="1" w:styleId="WW8Num6z0">
    <w:name w:val="WW8Num6z0"/>
    <w:qFormat/>
    <w:rsid w:val="003B53EA"/>
    <w:rPr>
      <w:rFonts w:ascii="Symbol" w:hAnsi="Symbol" w:cs="Symbol"/>
      <w:color w:val="000000"/>
      <w:position w:val="0"/>
      <w:sz w:val="24"/>
      <w:vertAlign w:val="baseline"/>
    </w:rPr>
  </w:style>
  <w:style w:type="character" w:customStyle="1" w:styleId="WW8Num6z1">
    <w:name w:val="WW8Num6z1"/>
    <w:qFormat/>
    <w:rsid w:val="003B53EA"/>
    <w:rPr>
      <w:rFonts w:ascii="Courier New" w:hAnsi="Courier New" w:cs="Courier New"/>
    </w:rPr>
  </w:style>
  <w:style w:type="character" w:customStyle="1" w:styleId="WW8Num6z2">
    <w:name w:val="WW8Num6z2"/>
    <w:qFormat/>
    <w:rsid w:val="003B53EA"/>
    <w:rPr>
      <w:rFonts w:ascii="Wingdings" w:hAnsi="Wingdings" w:cs="Wingdings"/>
    </w:rPr>
  </w:style>
  <w:style w:type="character" w:customStyle="1" w:styleId="WW8Num6z3">
    <w:name w:val="WW8Num6z3"/>
    <w:qFormat/>
    <w:rsid w:val="003B53EA"/>
    <w:rPr>
      <w:rFonts w:ascii="Symbol" w:hAnsi="Symbol" w:cs="Symbol"/>
    </w:rPr>
  </w:style>
  <w:style w:type="character" w:customStyle="1" w:styleId="WW8Num7z0">
    <w:name w:val="WW8Num7z0"/>
    <w:qFormat/>
    <w:rsid w:val="003B53EA"/>
    <w:rPr>
      <w:rFonts w:ascii="Symbol" w:hAnsi="Symbol" w:cs="Symbol"/>
      <w:color w:val="000000"/>
      <w:position w:val="0"/>
      <w:sz w:val="24"/>
      <w:vertAlign w:val="baseline"/>
    </w:rPr>
  </w:style>
  <w:style w:type="character" w:customStyle="1" w:styleId="WW8Num7z1">
    <w:name w:val="WW8Num7z1"/>
    <w:qFormat/>
    <w:rsid w:val="003B53EA"/>
    <w:rPr>
      <w:rFonts w:ascii="Courier New" w:hAnsi="Courier New" w:cs="Courier New"/>
    </w:rPr>
  </w:style>
  <w:style w:type="character" w:customStyle="1" w:styleId="WW8Num7z2">
    <w:name w:val="WW8Num7z2"/>
    <w:qFormat/>
    <w:rsid w:val="003B53EA"/>
    <w:rPr>
      <w:rFonts w:ascii="Wingdings" w:hAnsi="Wingdings" w:cs="Wingdings"/>
    </w:rPr>
  </w:style>
  <w:style w:type="character" w:customStyle="1" w:styleId="WW8Num7z3">
    <w:name w:val="WW8Num7z3"/>
    <w:qFormat/>
    <w:rsid w:val="003B53EA"/>
    <w:rPr>
      <w:rFonts w:ascii="Symbol" w:hAnsi="Symbol" w:cs="Symbol"/>
    </w:rPr>
  </w:style>
  <w:style w:type="character" w:customStyle="1" w:styleId="Znakiprzypiswkocowych">
    <w:name w:val="Znaki przypisów końcowych"/>
    <w:basedOn w:val="Domylnaczcionkaakapitu"/>
    <w:qFormat/>
    <w:rsid w:val="003B53EA"/>
    <w:rPr>
      <w:vertAlign w:val="superscript"/>
    </w:rPr>
  </w:style>
  <w:style w:type="character" w:customStyle="1" w:styleId="czeinternetowe">
    <w:name w:val="Łącze internetowe"/>
    <w:basedOn w:val="Domylnaczcionkaakapitu"/>
    <w:rsid w:val="003B53EA"/>
    <w:rPr>
      <w:color w:val="0000FF"/>
      <w:u w:val="single"/>
    </w:rPr>
  </w:style>
  <w:style w:type="character" w:customStyle="1" w:styleId="Heading2Char">
    <w:name w:val="Heading 2 Char"/>
    <w:basedOn w:val="Domylnaczcionkaakapitu"/>
    <w:qFormat/>
    <w:rsid w:val="003B53EA"/>
    <w:rPr>
      <w:b/>
      <w:bCs/>
      <w:sz w:val="28"/>
      <w:szCs w:val="28"/>
      <w:lang w:val="pl-PL" w:bidi="ar-SA"/>
    </w:rPr>
  </w:style>
  <w:style w:type="character" w:customStyle="1" w:styleId="Heading8Char">
    <w:name w:val="Heading 8 Char"/>
    <w:basedOn w:val="Domylnaczcionkaakapitu"/>
    <w:qFormat/>
    <w:rsid w:val="003B53EA"/>
    <w:rPr>
      <w:i/>
      <w:iCs/>
      <w:sz w:val="24"/>
      <w:szCs w:val="24"/>
      <w:lang w:val="pl-PL" w:bidi="ar-SA"/>
    </w:rPr>
  </w:style>
  <w:style w:type="character" w:customStyle="1" w:styleId="Znakiwypunktowania">
    <w:name w:val="Znaki wypunktowania"/>
    <w:qFormat/>
    <w:rsid w:val="003B53EA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3B53EA"/>
    <w:rPr>
      <w:rFonts w:cs="OpenSymbol"/>
    </w:rPr>
  </w:style>
  <w:style w:type="character" w:customStyle="1" w:styleId="ListLabel4">
    <w:name w:val="ListLabel 4"/>
    <w:qFormat/>
    <w:rsid w:val="003B53EA"/>
    <w:rPr>
      <w:rFonts w:cs="OpenSymbol"/>
    </w:rPr>
  </w:style>
  <w:style w:type="character" w:customStyle="1" w:styleId="ListLabel5">
    <w:name w:val="ListLabel 5"/>
    <w:qFormat/>
    <w:rsid w:val="003B53EA"/>
    <w:rPr>
      <w:rFonts w:cs="OpenSymbol"/>
    </w:rPr>
  </w:style>
  <w:style w:type="character" w:customStyle="1" w:styleId="ListLabel6">
    <w:name w:val="ListLabel 6"/>
    <w:qFormat/>
    <w:rsid w:val="003B53EA"/>
    <w:rPr>
      <w:rFonts w:cs="OpenSymbol"/>
    </w:rPr>
  </w:style>
  <w:style w:type="character" w:customStyle="1" w:styleId="ListLabel7">
    <w:name w:val="ListLabel 7"/>
    <w:qFormat/>
    <w:rsid w:val="003B53EA"/>
    <w:rPr>
      <w:rFonts w:cs="OpenSymbol"/>
    </w:rPr>
  </w:style>
  <w:style w:type="character" w:customStyle="1" w:styleId="ListLabel8">
    <w:name w:val="ListLabel 8"/>
    <w:qFormat/>
    <w:rsid w:val="003B53EA"/>
    <w:rPr>
      <w:rFonts w:cs="OpenSymbol"/>
    </w:rPr>
  </w:style>
  <w:style w:type="character" w:customStyle="1" w:styleId="ListLabel9">
    <w:name w:val="ListLabel 9"/>
    <w:qFormat/>
    <w:rsid w:val="003B53EA"/>
    <w:rPr>
      <w:rFonts w:cs="OpenSymbol"/>
    </w:rPr>
  </w:style>
  <w:style w:type="character" w:customStyle="1" w:styleId="ListLabel10">
    <w:name w:val="ListLabel 10"/>
    <w:qFormat/>
    <w:rsid w:val="003B53EA"/>
    <w:rPr>
      <w:rFonts w:cs="OpenSymbol"/>
    </w:rPr>
  </w:style>
  <w:style w:type="character" w:customStyle="1" w:styleId="ListLabel11">
    <w:name w:val="ListLabel 11"/>
    <w:qFormat/>
    <w:rsid w:val="003B53EA"/>
    <w:rPr>
      <w:rFonts w:cs="OpenSymbol"/>
    </w:rPr>
  </w:style>
  <w:style w:type="character" w:customStyle="1" w:styleId="ListLabel12">
    <w:name w:val="ListLabel 12"/>
    <w:qFormat/>
    <w:rsid w:val="003B53EA"/>
    <w:rPr>
      <w:rFonts w:cs="Times New Roman"/>
    </w:rPr>
  </w:style>
  <w:style w:type="character" w:customStyle="1" w:styleId="ListLabel13">
    <w:name w:val="ListLabel 13"/>
    <w:qFormat/>
    <w:rsid w:val="003B53EA"/>
    <w:rPr>
      <w:rFonts w:cs="Times New Roman"/>
    </w:rPr>
  </w:style>
  <w:style w:type="character" w:customStyle="1" w:styleId="ListLabel14">
    <w:name w:val="ListLabel 14"/>
    <w:qFormat/>
    <w:rsid w:val="003B53EA"/>
    <w:rPr>
      <w:rFonts w:cs="Times New Roman"/>
    </w:rPr>
  </w:style>
  <w:style w:type="character" w:customStyle="1" w:styleId="ListLabel15">
    <w:name w:val="ListLabel 15"/>
    <w:qFormat/>
    <w:rsid w:val="003B53EA"/>
    <w:rPr>
      <w:rFonts w:ascii="Times New Roman" w:hAnsi="Times New Roman" w:cs="OpenSymbol"/>
      <w:sz w:val="20"/>
    </w:rPr>
  </w:style>
  <w:style w:type="character" w:customStyle="1" w:styleId="ListLabel16">
    <w:name w:val="ListLabel 16"/>
    <w:qFormat/>
    <w:rsid w:val="003B53EA"/>
    <w:rPr>
      <w:rFonts w:cs="OpenSymbol"/>
    </w:rPr>
  </w:style>
  <w:style w:type="character" w:customStyle="1" w:styleId="ListLabel17">
    <w:name w:val="ListLabel 17"/>
    <w:qFormat/>
    <w:rsid w:val="003B53EA"/>
    <w:rPr>
      <w:rFonts w:cs="OpenSymbol"/>
    </w:rPr>
  </w:style>
  <w:style w:type="character" w:customStyle="1" w:styleId="ListLabel18">
    <w:name w:val="ListLabel 18"/>
    <w:qFormat/>
    <w:rsid w:val="003B53EA"/>
    <w:rPr>
      <w:rFonts w:cs="OpenSymbol"/>
    </w:rPr>
  </w:style>
  <w:style w:type="character" w:customStyle="1" w:styleId="ListLabel19">
    <w:name w:val="ListLabel 19"/>
    <w:qFormat/>
    <w:rsid w:val="003B53EA"/>
    <w:rPr>
      <w:rFonts w:cs="OpenSymbol"/>
    </w:rPr>
  </w:style>
  <w:style w:type="character" w:customStyle="1" w:styleId="ListLabel20">
    <w:name w:val="ListLabel 20"/>
    <w:qFormat/>
    <w:rsid w:val="003B53EA"/>
    <w:rPr>
      <w:rFonts w:cs="OpenSymbol"/>
    </w:rPr>
  </w:style>
  <w:style w:type="character" w:customStyle="1" w:styleId="ListLabel21">
    <w:name w:val="ListLabel 21"/>
    <w:qFormat/>
    <w:rsid w:val="003B53EA"/>
    <w:rPr>
      <w:rFonts w:cs="OpenSymbol"/>
    </w:rPr>
  </w:style>
  <w:style w:type="character" w:customStyle="1" w:styleId="ListLabel22">
    <w:name w:val="ListLabel 22"/>
    <w:qFormat/>
    <w:rsid w:val="003B53EA"/>
    <w:rPr>
      <w:rFonts w:cs="OpenSymbol"/>
    </w:rPr>
  </w:style>
  <w:style w:type="character" w:customStyle="1" w:styleId="ListLabel23">
    <w:name w:val="ListLabel 23"/>
    <w:qFormat/>
    <w:rsid w:val="003B53EA"/>
    <w:rPr>
      <w:rFonts w:cs="OpenSymbol"/>
    </w:rPr>
  </w:style>
  <w:style w:type="character" w:customStyle="1" w:styleId="ListLabel24">
    <w:name w:val="ListLabel 24"/>
    <w:qFormat/>
    <w:rsid w:val="003B53EA"/>
    <w:rPr>
      <w:rFonts w:cs="OpenSymbol"/>
    </w:rPr>
  </w:style>
  <w:style w:type="character" w:customStyle="1" w:styleId="ListLabel25">
    <w:name w:val="ListLabel 25"/>
    <w:qFormat/>
    <w:rsid w:val="003B53EA"/>
    <w:rPr>
      <w:rFonts w:cs="OpenSymbol"/>
    </w:rPr>
  </w:style>
  <w:style w:type="character" w:customStyle="1" w:styleId="ListLabel26">
    <w:name w:val="ListLabel 26"/>
    <w:qFormat/>
    <w:rsid w:val="003B53EA"/>
    <w:rPr>
      <w:rFonts w:cs="OpenSymbol"/>
    </w:rPr>
  </w:style>
  <w:style w:type="character" w:customStyle="1" w:styleId="ListLabel27">
    <w:name w:val="ListLabel 27"/>
    <w:qFormat/>
    <w:rsid w:val="003B53EA"/>
    <w:rPr>
      <w:rFonts w:cs="OpenSymbol"/>
    </w:rPr>
  </w:style>
  <w:style w:type="character" w:customStyle="1" w:styleId="ListLabel28">
    <w:name w:val="ListLabel 28"/>
    <w:qFormat/>
    <w:rsid w:val="003B53EA"/>
    <w:rPr>
      <w:rFonts w:cs="OpenSymbol"/>
    </w:rPr>
  </w:style>
  <w:style w:type="character" w:customStyle="1" w:styleId="ListLabel29">
    <w:name w:val="ListLabel 29"/>
    <w:qFormat/>
    <w:rsid w:val="003B53EA"/>
    <w:rPr>
      <w:rFonts w:cs="OpenSymbol"/>
    </w:rPr>
  </w:style>
  <w:style w:type="character" w:customStyle="1" w:styleId="ListLabel30">
    <w:name w:val="ListLabel 30"/>
    <w:qFormat/>
    <w:rsid w:val="003B53EA"/>
    <w:rPr>
      <w:rFonts w:cs="OpenSymbol"/>
    </w:rPr>
  </w:style>
  <w:style w:type="character" w:customStyle="1" w:styleId="ListLabel31">
    <w:name w:val="ListLabel 31"/>
    <w:qFormat/>
    <w:rsid w:val="003B53EA"/>
    <w:rPr>
      <w:rFonts w:cs="OpenSymbol"/>
    </w:rPr>
  </w:style>
  <w:style w:type="character" w:customStyle="1" w:styleId="ListLabel32">
    <w:name w:val="ListLabel 32"/>
    <w:qFormat/>
    <w:rsid w:val="003B53EA"/>
    <w:rPr>
      <w:rFonts w:cs="OpenSymbol"/>
    </w:rPr>
  </w:style>
  <w:style w:type="character" w:customStyle="1" w:styleId="ListLabel33">
    <w:name w:val="ListLabel 33"/>
    <w:qFormat/>
    <w:rsid w:val="003B53EA"/>
    <w:rPr>
      <w:rFonts w:cs="Times New Roman"/>
    </w:rPr>
  </w:style>
  <w:style w:type="character" w:customStyle="1" w:styleId="ListLabel34">
    <w:name w:val="ListLabel 34"/>
    <w:qFormat/>
    <w:rsid w:val="003B53EA"/>
    <w:rPr>
      <w:rFonts w:cs="Times New Roman"/>
    </w:rPr>
  </w:style>
  <w:style w:type="character" w:customStyle="1" w:styleId="ListLabel35">
    <w:name w:val="ListLabel 35"/>
    <w:qFormat/>
    <w:rsid w:val="003B53EA"/>
    <w:rPr>
      <w:rFonts w:cs="Times New Roman"/>
    </w:rPr>
  </w:style>
  <w:style w:type="character" w:customStyle="1" w:styleId="ListLabel36">
    <w:name w:val="ListLabel 36"/>
    <w:qFormat/>
    <w:rsid w:val="003B53EA"/>
    <w:rPr>
      <w:rFonts w:cs="Times New Roman"/>
    </w:rPr>
  </w:style>
  <w:style w:type="character" w:customStyle="1" w:styleId="ListLabel37">
    <w:name w:val="ListLabel 37"/>
    <w:qFormat/>
    <w:rsid w:val="003B53EA"/>
    <w:rPr>
      <w:rFonts w:cs="Times New Roman"/>
    </w:rPr>
  </w:style>
  <w:style w:type="character" w:customStyle="1" w:styleId="ListLabel38">
    <w:name w:val="ListLabel 38"/>
    <w:qFormat/>
    <w:rsid w:val="003B53EA"/>
    <w:rPr>
      <w:rFonts w:cs="Times New Roman"/>
    </w:rPr>
  </w:style>
  <w:style w:type="character" w:customStyle="1" w:styleId="ListLabel39">
    <w:name w:val="ListLabel 39"/>
    <w:qFormat/>
    <w:rsid w:val="003B53EA"/>
    <w:rPr>
      <w:rFonts w:cs="OpenSymbol"/>
    </w:rPr>
  </w:style>
  <w:style w:type="character" w:customStyle="1" w:styleId="ListLabel40">
    <w:name w:val="ListLabel 40"/>
    <w:qFormat/>
    <w:rsid w:val="003B53EA"/>
    <w:rPr>
      <w:rFonts w:cs="OpenSymbol"/>
    </w:rPr>
  </w:style>
  <w:style w:type="character" w:customStyle="1" w:styleId="ListLabel41">
    <w:name w:val="ListLabel 41"/>
    <w:qFormat/>
    <w:rsid w:val="003B53EA"/>
    <w:rPr>
      <w:rFonts w:cs="OpenSymbol"/>
    </w:rPr>
  </w:style>
  <w:style w:type="character" w:customStyle="1" w:styleId="ListLabel42">
    <w:name w:val="ListLabel 42"/>
    <w:qFormat/>
    <w:rsid w:val="003B53EA"/>
    <w:rPr>
      <w:rFonts w:cs="OpenSymbol"/>
    </w:rPr>
  </w:style>
  <w:style w:type="character" w:customStyle="1" w:styleId="ListLabel43">
    <w:name w:val="ListLabel 43"/>
    <w:qFormat/>
    <w:rsid w:val="003B53EA"/>
    <w:rPr>
      <w:rFonts w:cs="OpenSymbol"/>
    </w:rPr>
  </w:style>
  <w:style w:type="character" w:customStyle="1" w:styleId="ListLabel44">
    <w:name w:val="ListLabel 44"/>
    <w:qFormat/>
    <w:rsid w:val="003B53EA"/>
    <w:rPr>
      <w:rFonts w:cs="OpenSymbol"/>
    </w:rPr>
  </w:style>
  <w:style w:type="character" w:customStyle="1" w:styleId="ListLabel45">
    <w:name w:val="ListLabel 45"/>
    <w:qFormat/>
    <w:rsid w:val="003B53EA"/>
    <w:rPr>
      <w:rFonts w:cs="OpenSymbol"/>
    </w:rPr>
  </w:style>
  <w:style w:type="character" w:customStyle="1" w:styleId="ListLabel46">
    <w:name w:val="ListLabel 46"/>
    <w:qFormat/>
    <w:rsid w:val="003B53EA"/>
    <w:rPr>
      <w:rFonts w:cs="OpenSymbol"/>
    </w:rPr>
  </w:style>
  <w:style w:type="character" w:customStyle="1" w:styleId="ListLabel47">
    <w:name w:val="ListLabel 47"/>
    <w:qFormat/>
    <w:rsid w:val="003B53EA"/>
    <w:rPr>
      <w:rFonts w:cs="OpenSymbol"/>
    </w:rPr>
  </w:style>
  <w:style w:type="character" w:customStyle="1" w:styleId="ListLabel48">
    <w:name w:val="ListLabel 48"/>
    <w:qFormat/>
    <w:rsid w:val="003B53EA"/>
    <w:rPr>
      <w:rFonts w:cs="Times New Roman"/>
    </w:rPr>
  </w:style>
  <w:style w:type="character" w:customStyle="1" w:styleId="ListLabel49">
    <w:name w:val="ListLabel 49"/>
    <w:qFormat/>
    <w:rsid w:val="003B53EA"/>
    <w:rPr>
      <w:rFonts w:cs="Times New Roman"/>
    </w:rPr>
  </w:style>
  <w:style w:type="character" w:customStyle="1" w:styleId="ListLabel50">
    <w:name w:val="ListLabel 50"/>
    <w:qFormat/>
    <w:rsid w:val="003B53EA"/>
    <w:rPr>
      <w:rFonts w:cs="Times New Roman"/>
    </w:rPr>
  </w:style>
  <w:style w:type="character" w:customStyle="1" w:styleId="ListLabel51">
    <w:name w:val="ListLabel 51"/>
    <w:qFormat/>
    <w:rsid w:val="003B53EA"/>
    <w:rPr>
      <w:rFonts w:cs="Times New Roman"/>
    </w:rPr>
  </w:style>
  <w:style w:type="character" w:customStyle="1" w:styleId="ListLabel52">
    <w:name w:val="ListLabel 52"/>
    <w:qFormat/>
    <w:rsid w:val="003B53EA"/>
    <w:rPr>
      <w:rFonts w:cs="Times New Roman"/>
    </w:rPr>
  </w:style>
  <w:style w:type="character" w:customStyle="1" w:styleId="ListLabel53">
    <w:name w:val="ListLabel 53"/>
    <w:qFormat/>
    <w:rsid w:val="003B53EA"/>
    <w:rPr>
      <w:rFonts w:cs="Times New Roman"/>
    </w:rPr>
  </w:style>
  <w:style w:type="character" w:customStyle="1" w:styleId="ListLabel54">
    <w:name w:val="ListLabel 54"/>
    <w:qFormat/>
    <w:rsid w:val="003B53EA"/>
    <w:rPr>
      <w:rFonts w:cs="OpenSymbol"/>
    </w:rPr>
  </w:style>
  <w:style w:type="character" w:customStyle="1" w:styleId="ListLabel55">
    <w:name w:val="ListLabel 55"/>
    <w:qFormat/>
    <w:rsid w:val="003B53EA"/>
    <w:rPr>
      <w:rFonts w:cs="OpenSymbol"/>
    </w:rPr>
  </w:style>
  <w:style w:type="character" w:customStyle="1" w:styleId="ListLabel56">
    <w:name w:val="ListLabel 56"/>
    <w:qFormat/>
    <w:rsid w:val="003B53EA"/>
    <w:rPr>
      <w:rFonts w:cs="OpenSymbol"/>
    </w:rPr>
  </w:style>
  <w:style w:type="character" w:customStyle="1" w:styleId="ListLabel57">
    <w:name w:val="ListLabel 57"/>
    <w:qFormat/>
    <w:rsid w:val="003B53EA"/>
    <w:rPr>
      <w:rFonts w:cs="OpenSymbol"/>
    </w:rPr>
  </w:style>
  <w:style w:type="character" w:customStyle="1" w:styleId="ListLabel58">
    <w:name w:val="ListLabel 58"/>
    <w:qFormat/>
    <w:rsid w:val="003B53EA"/>
    <w:rPr>
      <w:rFonts w:cs="OpenSymbol"/>
    </w:rPr>
  </w:style>
  <w:style w:type="character" w:customStyle="1" w:styleId="ListLabel59">
    <w:name w:val="ListLabel 59"/>
    <w:qFormat/>
    <w:rsid w:val="003B53EA"/>
    <w:rPr>
      <w:rFonts w:cs="OpenSymbol"/>
    </w:rPr>
  </w:style>
  <w:style w:type="character" w:customStyle="1" w:styleId="ListLabel60">
    <w:name w:val="ListLabel 60"/>
    <w:qFormat/>
    <w:rsid w:val="003B53EA"/>
    <w:rPr>
      <w:rFonts w:cs="OpenSymbol"/>
    </w:rPr>
  </w:style>
  <w:style w:type="character" w:customStyle="1" w:styleId="ListLabel61">
    <w:name w:val="ListLabel 61"/>
    <w:qFormat/>
    <w:rsid w:val="003B53EA"/>
    <w:rPr>
      <w:rFonts w:cs="OpenSymbol"/>
    </w:rPr>
  </w:style>
  <w:style w:type="character" w:customStyle="1" w:styleId="ListLabel62">
    <w:name w:val="ListLabel 62"/>
    <w:qFormat/>
    <w:rsid w:val="003B53EA"/>
    <w:rPr>
      <w:rFonts w:cs="OpenSymbol"/>
    </w:rPr>
  </w:style>
  <w:style w:type="character" w:customStyle="1" w:styleId="Znakinumeracji">
    <w:name w:val="Znaki numeracji"/>
    <w:qFormat/>
    <w:rsid w:val="003B53EA"/>
  </w:style>
  <w:style w:type="character" w:customStyle="1" w:styleId="ListLabel63">
    <w:name w:val="ListLabel 63"/>
    <w:qFormat/>
    <w:rsid w:val="003B53EA"/>
    <w:rPr>
      <w:rFonts w:cs="Times New Roman"/>
    </w:rPr>
  </w:style>
  <w:style w:type="character" w:customStyle="1" w:styleId="ListLabel64">
    <w:name w:val="ListLabel 64"/>
    <w:qFormat/>
    <w:rsid w:val="003B53EA"/>
    <w:rPr>
      <w:rFonts w:cs="Times New Roman"/>
    </w:rPr>
  </w:style>
  <w:style w:type="character" w:customStyle="1" w:styleId="ListLabel65">
    <w:name w:val="ListLabel 65"/>
    <w:qFormat/>
    <w:rsid w:val="003B53EA"/>
    <w:rPr>
      <w:rFonts w:cs="Times New Roman"/>
    </w:rPr>
  </w:style>
  <w:style w:type="character" w:customStyle="1" w:styleId="ListLabel66">
    <w:name w:val="ListLabel 66"/>
    <w:qFormat/>
    <w:rsid w:val="003B53EA"/>
    <w:rPr>
      <w:rFonts w:cs="Times New Roman"/>
    </w:rPr>
  </w:style>
  <w:style w:type="character" w:customStyle="1" w:styleId="ListLabel67">
    <w:name w:val="ListLabel 67"/>
    <w:qFormat/>
    <w:rsid w:val="003B53EA"/>
    <w:rPr>
      <w:rFonts w:cs="Times New Roman"/>
    </w:rPr>
  </w:style>
  <w:style w:type="character" w:customStyle="1" w:styleId="ListLabel68">
    <w:name w:val="ListLabel 68"/>
    <w:qFormat/>
    <w:rsid w:val="003B53EA"/>
    <w:rPr>
      <w:rFonts w:cs="Times New Roman"/>
    </w:rPr>
  </w:style>
  <w:style w:type="character" w:customStyle="1" w:styleId="ListLabel69">
    <w:name w:val="ListLabel 69"/>
    <w:qFormat/>
    <w:rsid w:val="003B53EA"/>
    <w:rPr>
      <w:rFonts w:cs="OpenSymbol"/>
    </w:rPr>
  </w:style>
  <w:style w:type="character" w:customStyle="1" w:styleId="ListLabel70">
    <w:name w:val="ListLabel 70"/>
    <w:qFormat/>
    <w:rsid w:val="003B53EA"/>
    <w:rPr>
      <w:rFonts w:cs="OpenSymbol"/>
    </w:rPr>
  </w:style>
  <w:style w:type="character" w:customStyle="1" w:styleId="ListLabel71">
    <w:name w:val="ListLabel 71"/>
    <w:qFormat/>
    <w:rsid w:val="003B53EA"/>
    <w:rPr>
      <w:rFonts w:cs="OpenSymbol"/>
    </w:rPr>
  </w:style>
  <w:style w:type="character" w:customStyle="1" w:styleId="ListLabel72">
    <w:name w:val="ListLabel 72"/>
    <w:qFormat/>
    <w:rsid w:val="003B53EA"/>
    <w:rPr>
      <w:rFonts w:cs="OpenSymbol"/>
    </w:rPr>
  </w:style>
  <w:style w:type="character" w:customStyle="1" w:styleId="ListLabel73">
    <w:name w:val="ListLabel 73"/>
    <w:qFormat/>
    <w:rsid w:val="003B53EA"/>
    <w:rPr>
      <w:rFonts w:cs="OpenSymbol"/>
    </w:rPr>
  </w:style>
  <w:style w:type="character" w:customStyle="1" w:styleId="ListLabel74">
    <w:name w:val="ListLabel 74"/>
    <w:qFormat/>
    <w:rsid w:val="003B53EA"/>
    <w:rPr>
      <w:rFonts w:cs="OpenSymbol"/>
    </w:rPr>
  </w:style>
  <w:style w:type="character" w:customStyle="1" w:styleId="ListLabel75">
    <w:name w:val="ListLabel 75"/>
    <w:qFormat/>
    <w:rsid w:val="003B53EA"/>
    <w:rPr>
      <w:rFonts w:cs="OpenSymbol"/>
    </w:rPr>
  </w:style>
  <w:style w:type="character" w:customStyle="1" w:styleId="ListLabel76">
    <w:name w:val="ListLabel 76"/>
    <w:qFormat/>
    <w:rsid w:val="003B53EA"/>
    <w:rPr>
      <w:rFonts w:cs="OpenSymbol"/>
    </w:rPr>
  </w:style>
  <w:style w:type="character" w:customStyle="1" w:styleId="ListLabel77">
    <w:name w:val="ListLabel 77"/>
    <w:qFormat/>
    <w:rsid w:val="003B53EA"/>
    <w:rPr>
      <w:rFonts w:cs="OpenSymbol"/>
    </w:rPr>
  </w:style>
  <w:style w:type="character" w:customStyle="1" w:styleId="ListLabel78">
    <w:name w:val="ListLabel 78"/>
    <w:qFormat/>
    <w:rsid w:val="003B53EA"/>
    <w:rPr>
      <w:rFonts w:cs="Times New Roman"/>
    </w:rPr>
  </w:style>
  <w:style w:type="character" w:customStyle="1" w:styleId="ListLabel79">
    <w:name w:val="ListLabel 79"/>
    <w:qFormat/>
    <w:rsid w:val="003B53EA"/>
    <w:rPr>
      <w:rFonts w:cs="Times New Roman"/>
    </w:rPr>
  </w:style>
  <w:style w:type="character" w:customStyle="1" w:styleId="ListLabel80">
    <w:name w:val="ListLabel 80"/>
    <w:qFormat/>
    <w:rsid w:val="003B53EA"/>
    <w:rPr>
      <w:rFonts w:cs="Times New Roman"/>
    </w:rPr>
  </w:style>
  <w:style w:type="character" w:customStyle="1" w:styleId="ListLabel81">
    <w:name w:val="ListLabel 81"/>
    <w:qFormat/>
    <w:rsid w:val="003B53EA"/>
    <w:rPr>
      <w:rFonts w:cs="Times New Roman"/>
    </w:rPr>
  </w:style>
  <w:style w:type="character" w:customStyle="1" w:styleId="ListLabel82">
    <w:name w:val="ListLabel 82"/>
    <w:qFormat/>
    <w:rsid w:val="003B53EA"/>
    <w:rPr>
      <w:rFonts w:cs="Times New Roman"/>
    </w:rPr>
  </w:style>
  <w:style w:type="character" w:customStyle="1" w:styleId="ListLabel83">
    <w:name w:val="ListLabel 83"/>
    <w:qFormat/>
    <w:rsid w:val="003B53EA"/>
    <w:rPr>
      <w:rFonts w:cs="Times New Roman"/>
    </w:rPr>
  </w:style>
  <w:style w:type="character" w:customStyle="1" w:styleId="ListLabel84">
    <w:name w:val="ListLabel 84"/>
    <w:qFormat/>
    <w:rsid w:val="003B53EA"/>
    <w:rPr>
      <w:rFonts w:ascii="Times New Roman" w:hAnsi="Times New Roman" w:cs="OpenSymbol"/>
      <w:sz w:val="20"/>
    </w:rPr>
  </w:style>
  <w:style w:type="character" w:customStyle="1" w:styleId="ListLabel85">
    <w:name w:val="ListLabel 85"/>
    <w:qFormat/>
    <w:rsid w:val="003B53EA"/>
    <w:rPr>
      <w:rFonts w:cs="OpenSymbol"/>
    </w:rPr>
  </w:style>
  <w:style w:type="character" w:customStyle="1" w:styleId="ListLabel86">
    <w:name w:val="ListLabel 86"/>
    <w:qFormat/>
    <w:rsid w:val="003B53EA"/>
    <w:rPr>
      <w:rFonts w:cs="OpenSymbol"/>
    </w:rPr>
  </w:style>
  <w:style w:type="character" w:customStyle="1" w:styleId="ListLabel87">
    <w:name w:val="ListLabel 87"/>
    <w:qFormat/>
    <w:rsid w:val="003B53EA"/>
    <w:rPr>
      <w:rFonts w:cs="OpenSymbol"/>
    </w:rPr>
  </w:style>
  <w:style w:type="character" w:customStyle="1" w:styleId="ListLabel88">
    <w:name w:val="ListLabel 88"/>
    <w:qFormat/>
    <w:rsid w:val="003B53EA"/>
    <w:rPr>
      <w:rFonts w:cs="OpenSymbol"/>
    </w:rPr>
  </w:style>
  <w:style w:type="character" w:customStyle="1" w:styleId="ListLabel89">
    <w:name w:val="ListLabel 89"/>
    <w:qFormat/>
    <w:rsid w:val="003B53EA"/>
    <w:rPr>
      <w:rFonts w:cs="OpenSymbol"/>
    </w:rPr>
  </w:style>
  <w:style w:type="character" w:customStyle="1" w:styleId="ListLabel90">
    <w:name w:val="ListLabel 90"/>
    <w:qFormat/>
    <w:rsid w:val="003B53EA"/>
    <w:rPr>
      <w:rFonts w:cs="OpenSymbol"/>
    </w:rPr>
  </w:style>
  <w:style w:type="character" w:customStyle="1" w:styleId="ListLabel91">
    <w:name w:val="ListLabel 91"/>
    <w:qFormat/>
    <w:rsid w:val="003B53EA"/>
    <w:rPr>
      <w:rFonts w:cs="OpenSymbol"/>
    </w:rPr>
  </w:style>
  <w:style w:type="character" w:customStyle="1" w:styleId="ListLabel92">
    <w:name w:val="ListLabel 92"/>
    <w:qFormat/>
    <w:rsid w:val="003B53EA"/>
    <w:rPr>
      <w:rFonts w:cs="OpenSymbol"/>
    </w:rPr>
  </w:style>
  <w:style w:type="character" w:customStyle="1" w:styleId="ListLabel93">
    <w:name w:val="ListLabel 93"/>
    <w:qFormat/>
    <w:rsid w:val="003B53EA"/>
    <w:rPr>
      <w:rFonts w:cs="Times New Roman"/>
    </w:rPr>
  </w:style>
  <w:style w:type="character" w:customStyle="1" w:styleId="ListLabel94">
    <w:name w:val="ListLabel 94"/>
    <w:qFormat/>
    <w:rsid w:val="003B53EA"/>
    <w:rPr>
      <w:rFonts w:cs="Times New Roman"/>
    </w:rPr>
  </w:style>
  <w:style w:type="character" w:customStyle="1" w:styleId="ListLabel95">
    <w:name w:val="ListLabel 95"/>
    <w:qFormat/>
    <w:rsid w:val="003B53EA"/>
    <w:rPr>
      <w:rFonts w:cs="Times New Roman"/>
    </w:rPr>
  </w:style>
  <w:style w:type="character" w:customStyle="1" w:styleId="ListLabel96">
    <w:name w:val="ListLabel 96"/>
    <w:qFormat/>
    <w:rsid w:val="003B53EA"/>
    <w:rPr>
      <w:rFonts w:cs="Times New Roman"/>
    </w:rPr>
  </w:style>
  <w:style w:type="character" w:customStyle="1" w:styleId="ListLabel97">
    <w:name w:val="ListLabel 97"/>
    <w:qFormat/>
    <w:rsid w:val="003B53EA"/>
    <w:rPr>
      <w:rFonts w:cs="Times New Roman"/>
    </w:rPr>
  </w:style>
  <w:style w:type="character" w:customStyle="1" w:styleId="ListLabel98">
    <w:name w:val="ListLabel 98"/>
    <w:qFormat/>
    <w:rsid w:val="003B53EA"/>
    <w:rPr>
      <w:rFonts w:cs="Times New Roman"/>
    </w:rPr>
  </w:style>
  <w:style w:type="character" w:customStyle="1" w:styleId="ListLabel99">
    <w:name w:val="ListLabel 99"/>
    <w:qFormat/>
    <w:rsid w:val="003B53EA"/>
    <w:rPr>
      <w:rFonts w:ascii="Times New Roman" w:hAnsi="Times New Roman" w:cs="OpenSymbol"/>
      <w:sz w:val="20"/>
    </w:rPr>
  </w:style>
  <w:style w:type="character" w:customStyle="1" w:styleId="ListLabel100">
    <w:name w:val="ListLabel 100"/>
    <w:qFormat/>
    <w:rsid w:val="003B53EA"/>
    <w:rPr>
      <w:rFonts w:cs="OpenSymbol"/>
    </w:rPr>
  </w:style>
  <w:style w:type="character" w:customStyle="1" w:styleId="ListLabel101">
    <w:name w:val="ListLabel 101"/>
    <w:qFormat/>
    <w:rsid w:val="003B53EA"/>
    <w:rPr>
      <w:rFonts w:cs="OpenSymbol"/>
    </w:rPr>
  </w:style>
  <w:style w:type="character" w:customStyle="1" w:styleId="ListLabel102">
    <w:name w:val="ListLabel 102"/>
    <w:qFormat/>
    <w:rsid w:val="003B53EA"/>
    <w:rPr>
      <w:rFonts w:cs="OpenSymbol"/>
    </w:rPr>
  </w:style>
  <w:style w:type="character" w:customStyle="1" w:styleId="ListLabel103">
    <w:name w:val="ListLabel 103"/>
    <w:qFormat/>
    <w:rsid w:val="003B53EA"/>
    <w:rPr>
      <w:rFonts w:cs="OpenSymbol"/>
    </w:rPr>
  </w:style>
  <w:style w:type="character" w:customStyle="1" w:styleId="ListLabel104">
    <w:name w:val="ListLabel 104"/>
    <w:qFormat/>
    <w:rsid w:val="003B53EA"/>
    <w:rPr>
      <w:rFonts w:cs="OpenSymbol"/>
    </w:rPr>
  </w:style>
  <w:style w:type="character" w:customStyle="1" w:styleId="ListLabel105">
    <w:name w:val="ListLabel 105"/>
    <w:qFormat/>
    <w:rsid w:val="003B53EA"/>
    <w:rPr>
      <w:rFonts w:cs="OpenSymbol"/>
    </w:rPr>
  </w:style>
  <w:style w:type="character" w:customStyle="1" w:styleId="ListLabel106">
    <w:name w:val="ListLabel 106"/>
    <w:qFormat/>
    <w:rsid w:val="003B53EA"/>
    <w:rPr>
      <w:rFonts w:cs="OpenSymbol"/>
    </w:rPr>
  </w:style>
  <w:style w:type="character" w:customStyle="1" w:styleId="ListLabel107">
    <w:name w:val="ListLabel 107"/>
    <w:qFormat/>
    <w:rsid w:val="003B53EA"/>
    <w:rPr>
      <w:rFonts w:cs="OpenSymbol"/>
    </w:rPr>
  </w:style>
  <w:style w:type="character" w:customStyle="1" w:styleId="ListLabel108">
    <w:name w:val="ListLabel 108"/>
    <w:qFormat/>
    <w:rsid w:val="003B53EA"/>
    <w:rPr>
      <w:rFonts w:cs="Times New Roman"/>
    </w:rPr>
  </w:style>
  <w:style w:type="character" w:customStyle="1" w:styleId="ListLabel109">
    <w:name w:val="ListLabel 109"/>
    <w:qFormat/>
    <w:rsid w:val="003B53EA"/>
    <w:rPr>
      <w:rFonts w:cs="Times New Roman"/>
    </w:rPr>
  </w:style>
  <w:style w:type="character" w:customStyle="1" w:styleId="ListLabel110">
    <w:name w:val="ListLabel 110"/>
    <w:qFormat/>
    <w:rsid w:val="003B53EA"/>
    <w:rPr>
      <w:rFonts w:cs="Times New Roman"/>
    </w:rPr>
  </w:style>
  <w:style w:type="character" w:customStyle="1" w:styleId="ListLabel111">
    <w:name w:val="ListLabel 111"/>
    <w:qFormat/>
    <w:rsid w:val="003B53EA"/>
    <w:rPr>
      <w:rFonts w:cs="Times New Roman"/>
    </w:rPr>
  </w:style>
  <w:style w:type="character" w:customStyle="1" w:styleId="ListLabel112">
    <w:name w:val="ListLabel 112"/>
    <w:qFormat/>
    <w:rsid w:val="003B53EA"/>
    <w:rPr>
      <w:rFonts w:cs="Times New Roman"/>
    </w:rPr>
  </w:style>
  <w:style w:type="character" w:customStyle="1" w:styleId="ListLabel113">
    <w:name w:val="ListLabel 113"/>
    <w:qFormat/>
    <w:rsid w:val="003B53EA"/>
    <w:rPr>
      <w:rFonts w:cs="Times New Roman"/>
    </w:rPr>
  </w:style>
  <w:style w:type="character" w:customStyle="1" w:styleId="ListLabel114">
    <w:name w:val="ListLabel 114"/>
    <w:qFormat/>
    <w:rsid w:val="003B53EA"/>
    <w:rPr>
      <w:rFonts w:ascii="Times New Roman" w:hAnsi="Times New Roman" w:cs="OpenSymbol"/>
      <w:sz w:val="20"/>
    </w:rPr>
  </w:style>
  <w:style w:type="character" w:customStyle="1" w:styleId="ListLabel115">
    <w:name w:val="ListLabel 115"/>
    <w:qFormat/>
    <w:rsid w:val="003B53EA"/>
    <w:rPr>
      <w:rFonts w:cs="OpenSymbol"/>
    </w:rPr>
  </w:style>
  <w:style w:type="character" w:customStyle="1" w:styleId="ListLabel116">
    <w:name w:val="ListLabel 116"/>
    <w:qFormat/>
    <w:rsid w:val="003B53EA"/>
    <w:rPr>
      <w:rFonts w:cs="OpenSymbol"/>
    </w:rPr>
  </w:style>
  <w:style w:type="character" w:customStyle="1" w:styleId="ListLabel117">
    <w:name w:val="ListLabel 117"/>
    <w:qFormat/>
    <w:rsid w:val="003B53EA"/>
    <w:rPr>
      <w:rFonts w:cs="OpenSymbol"/>
    </w:rPr>
  </w:style>
  <w:style w:type="character" w:customStyle="1" w:styleId="ListLabel118">
    <w:name w:val="ListLabel 118"/>
    <w:qFormat/>
    <w:rsid w:val="003B53EA"/>
    <w:rPr>
      <w:rFonts w:cs="OpenSymbol"/>
    </w:rPr>
  </w:style>
  <w:style w:type="character" w:customStyle="1" w:styleId="ListLabel119">
    <w:name w:val="ListLabel 119"/>
    <w:qFormat/>
    <w:rsid w:val="003B53EA"/>
    <w:rPr>
      <w:rFonts w:cs="OpenSymbol"/>
    </w:rPr>
  </w:style>
  <w:style w:type="character" w:customStyle="1" w:styleId="ListLabel120">
    <w:name w:val="ListLabel 120"/>
    <w:qFormat/>
    <w:rsid w:val="003B53EA"/>
    <w:rPr>
      <w:rFonts w:cs="OpenSymbol"/>
    </w:rPr>
  </w:style>
  <w:style w:type="character" w:customStyle="1" w:styleId="ListLabel121">
    <w:name w:val="ListLabel 121"/>
    <w:qFormat/>
    <w:rsid w:val="003B53EA"/>
    <w:rPr>
      <w:rFonts w:cs="OpenSymbol"/>
    </w:rPr>
  </w:style>
  <w:style w:type="character" w:customStyle="1" w:styleId="ListLabel122">
    <w:name w:val="ListLabel 122"/>
    <w:qFormat/>
    <w:rsid w:val="003B53EA"/>
    <w:rPr>
      <w:rFonts w:cs="OpenSymbol"/>
    </w:rPr>
  </w:style>
  <w:style w:type="character" w:customStyle="1" w:styleId="ListLabel123">
    <w:name w:val="ListLabel 123"/>
    <w:qFormat/>
    <w:rsid w:val="003B53EA"/>
    <w:rPr>
      <w:rFonts w:cs="Times New Roman"/>
    </w:rPr>
  </w:style>
  <w:style w:type="character" w:customStyle="1" w:styleId="ListLabel124">
    <w:name w:val="ListLabel 124"/>
    <w:qFormat/>
    <w:rsid w:val="003B53EA"/>
    <w:rPr>
      <w:rFonts w:cs="Times New Roman"/>
    </w:rPr>
  </w:style>
  <w:style w:type="character" w:customStyle="1" w:styleId="ListLabel125">
    <w:name w:val="ListLabel 125"/>
    <w:qFormat/>
    <w:rsid w:val="003B53EA"/>
    <w:rPr>
      <w:rFonts w:cs="Times New Roman"/>
    </w:rPr>
  </w:style>
  <w:style w:type="character" w:customStyle="1" w:styleId="ListLabel126">
    <w:name w:val="ListLabel 126"/>
    <w:qFormat/>
    <w:rsid w:val="003B53EA"/>
    <w:rPr>
      <w:rFonts w:cs="Times New Roman"/>
    </w:rPr>
  </w:style>
  <w:style w:type="character" w:customStyle="1" w:styleId="ListLabel127">
    <w:name w:val="ListLabel 127"/>
    <w:qFormat/>
    <w:rsid w:val="003B53EA"/>
    <w:rPr>
      <w:rFonts w:cs="Times New Roman"/>
    </w:rPr>
  </w:style>
  <w:style w:type="character" w:customStyle="1" w:styleId="ListLabel128">
    <w:name w:val="ListLabel 128"/>
    <w:qFormat/>
    <w:rsid w:val="003B53EA"/>
    <w:rPr>
      <w:rFonts w:cs="Times New Roman"/>
    </w:rPr>
  </w:style>
  <w:style w:type="character" w:customStyle="1" w:styleId="ListLabel129">
    <w:name w:val="ListLabel 129"/>
    <w:qFormat/>
    <w:rsid w:val="003B53EA"/>
    <w:rPr>
      <w:rFonts w:ascii="Times New Roman" w:hAnsi="Times New Roman" w:cs="OpenSymbol"/>
      <w:sz w:val="20"/>
    </w:rPr>
  </w:style>
  <w:style w:type="character" w:customStyle="1" w:styleId="ListLabel130">
    <w:name w:val="ListLabel 130"/>
    <w:qFormat/>
    <w:rsid w:val="003B53EA"/>
    <w:rPr>
      <w:rFonts w:cs="OpenSymbol"/>
    </w:rPr>
  </w:style>
  <w:style w:type="character" w:customStyle="1" w:styleId="ListLabel131">
    <w:name w:val="ListLabel 131"/>
    <w:qFormat/>
    <w:rsid w:val="003B53EA"/>
    <w:rPr>
      <w:rFonts w:cs="OpenSymbol"/>
    </w:rPr>
  </w:style>
  <w:style w:type="character" w:customStyle="1" w:styleId="ListLabel132">
    <w:name w:val="ListLabel 132"/>
    <w:qFormat/>
    <w:rsid w:val="003B53EA"/>
    <w:rPr>
      <w:rFonts w:cs="OpenSymbol"/>
    </w:rPr>
  </w:style>
  <w:style w:type="character" w:customStyle="1" w:styleId="ListLabel133">
    <w:name w:val="ListLabel 133"/>
    <w:qFormat/>
    <w:rsid w:val="003B53EA"/>
    <w:rPr>
      <w:rFonts w:cs="OpenSymbol"/>
    </w:rPr>
  </w:style>
  <w:style w:type="character" w:customStyle="1" w:styleId="ListLabel134">
    <w:name w:val="ListLabel 134"/>
    <w:qFormat/>
    <w:rsid w:val="003B53EA"/>
    <w:rPr>
      <w:rFonts w:cs="OpenSymbol"/>
    </w:rPr>
  </w:style>
  <w:style w:type="character" w:customStyle="1" w:styleId="ListLabel135">
    <w:name w:val="ListLabel 135"/>
    <w:qFormat/>
    <w:rsid w:val="003B53EA"/>
    <w:rPr>
      <w:rFonts w:cs="OpenSymbol"/>
    </w:rPr>
  </w:style>
  <w:style w:type="character" w:customStyle="1" w:styleId="ListLabel136">
    <w:name w:val="ListLabel 136"/>
    <w:qFormat/>
    <w:rsid w:val="003B53EA"/>
    <w:rPr>
      <w:rFonts w:cs="OpenSymbol"/>
    </w:rPr>
  </w:style>
  <w:style w:type="character" w:customStyle="1" w:styleId="ListLabel137">
    <w:name w:val="ListLabel 137"/>
    <w:qFormat/>
    <w:rsid w:val="003B53EA"/>
    <w:rPr>
      <w:rFonts w:cs="OpenSymbol"/>
    </w:rPr>
  </w:style>
  <w:style w:type="character" w:customStyle="1" w:styleId="ListLabel138">
    <w:name w:val="ListLabel 138"/>
    <w:qFormat/>
    <w:rsid w:val="003B53EA"/>
    <w:rPr>
      <w:rFonts w:cs="Times New Roman"/>
    </w:rPr>
  </w:style>
  <w:style w:type="character" w:customStyle="1" w:styleId="ListLabel139">
    <w:name w:val="ListLabel 139"/>
    <w:qFormat/>
    <w:rsid w:val="003B53EA"/>
    <w:rPr>
      <w:rFonts w:cs="Times New Roman"/>
    </w:rPr>
  </w:style>
  <w:style w:type="character" w:customStyle="1" w:styleId="ListLabel140">
    <w:name w:val="ListLabel 140"/>
    <w:qFormat/>
    <w:rsid w:val="003B53EA"/>
    <w:rPr>
      <w:rFonts w:cs="Times New Roman"/>
    </w:rPr>
  </w:style>
  <w:style w:type="character" w:customStyle="1" w:styleId="ListLabel141">
    <w:name w:val="ListLabel 141"/>
    <w:qFormat/>
    <w:rsid w:val="003B53EA"/>
    <w:rPr>
      <w:rFonts w:cs="Times New Roman"/>
    </w:rPr>
  </w:style>
  <w:style w:type="character" w:customStyle="1" w:styleId="ListLabel142">
    <w:name w:val="ListLabel 142"/>
    <w:qFormat/>
    <w:rsid w:val="003B53EA"/>
    <w:rPr>
      <w:rFonts w:cs="Times New Roman"/>
    </w:rPr>
  </w:style>
  <w:style w:type="character" w:customStyle="1" w:styleId="ListLabel143">
    <w:name w:val="ListLabel 143"/>
    <w:qFormat/>
    <w:rsid w:val="003B53EA"/>
    <w:rPr>
      <w:rFonts w:cs="Times New Roman"/>
    </w:rPr>
  </w:style>
  <w:style w:type="character" w:customStyle="1" w:styleId="ListLabel144">
    <w:name w:val="ListLabel 144"/>
    <w:qFormat/>
    <w:rsid w:val="003B53EA"/>
    <w:rPr>
      <w:rFonts w:ascii="Times New Roman" w:hAnsi="Times New Roman" w:cs="OpenSymbol"/>
      <w:sz w:val="20"/>
    </w:rPr>
  </w:style>
  <w:style w:type="character" w:customStyle="1" w:styleId="ListLabel145">
    <w:name w:val="ListLabel 145"/>
    <w:qFormat/>
    <w:rsid w:val="003B53EA"/>
    <w:rPr>
      <w:rFonts w:cs="OpenSymbol"/>
    </w:rPr>
  </w:style>
  <w:style w:type="character" w:customStyle="1" w:styleId="ListLabel146">
    <w:name w:val="ListLabel 146"/>
    <w:qFormat/>
    <w:rsid w:val="003B53EA"/>
    <w:rPr>
      <w:rFonts w:cs="OpenSymbol"/>
    </w:rPr>
  </w:style>
  <w:style w:type="character" w:customStyle="1" w:styleId="ListLabel147">
    <w:name w:val="ListLabel 147"/>
    <w:qFormat/>
    <w:rsid w:val="003B53EA"/>
    <w:rPr>
      <w:rFonts w:cs="OpenSymbol"/>
    </w:rPr>
  </w:style>
  <w:style w:type="character" w:customStyle="1" w:styleId="ListLabel148">
    <w:name w:val="ListLabel 148"/>
    <w:qFormat/>
    <w:rsid w:val="003B53EA"/>
    <w:rPr>
      <w:rFonts w:cs="OpenSymbol"/>
    </w:rPr>
  </w:style>
  <w:style w:type="character" w:customStyle="1" w:styleId="ListLabel149">
    <w:name w:val="ListLabel 149"/>
    <w:qFormat/>
    <w:rsid w:val="003B53EA"/>
    <w:rPr>
      <w:rFonts w:cs="OpenSymbol"/>
    </w:rPr>
  </w:style>
  <w:style w:type="character" w:customStyle="1" w:styleId="ListLabel150">
    <w:name w:val="ListLabel 150"/>
    <w:qFormat/>
    <w:rsid w:val="003B53EA"/>
    <w:rPr>
      <w:rFonts w:cs="OpenSymbol"/>
    </w:rPr>
  </w:style>
  <w:style w:type="character" w:customStyle="1" w:styleId="ListLabel151">
    <w:name w:val="ListLabel 151"/>
    <w:qFormat/>
    <w:rsid w:val="003B53EA"/>
    <w:rPr>
      <w:rFonts w:cs="OpenSymbol"/>
    </w:rPr>
  </w:style>
  <w:style w:type="character" w:customStyle="1" w:styleId="ListLabel152">
    <w:name w:val="ListLabel 152"/>
    <w:qFormat/>
    <w:rsid w:val="003B53EA"/>
    <w:rPr>
      <w:rFonts w:cs="OpenSymbol"/>
    </w:rPr>
  </w:style>
  <w:style w:type="character" w:customStyle="1" w:styleId="ListLabel153">
    <w:name w:val="ListLabel 153"/>
    <w:qFormat/>
    <w:rsid w:val="003B53EA"/>
    <w:rPr>
      <w:rFonts w:cs="OpenSymbol"/>
    </w:rPr>
  </w:style>
  <w:style w:type="character" w:customStyle="1" w:styleId="ListLabel154">
    <w:name w:val="ListLabel 154"/>
    <w:qFormat/>
    <w:rsid w:val="003B53EA"/>
    <w:rPr>
      <w:rFonts w:cs="OpenSymbol"/>
    </w:rPr>
  </w:style>
  <w:style w:type="character" w:customStyle="1" w:styleId="ListLabel155">
    <w:name w:val="ListLabel 155"/>
    <w:qFormat/>
    <w:rsid w:val="003B53EA"/>
    <w:rPr>
      <w:rFonts w:cs="OpenSymbol"/>
    </w:rPr>
  </w:style>
  <w:style w:type="character" w:customStyle="1" w:styleId="ListLabel156">
    <w:name w:val="ListLabel 156"/>
    <w:qFormat/>
    <w:rsid w:val="003B53EA"/>
    <w:rPr>
      <w:rFonts w:cs="OpenSymbol"/>
    </w:rPr>
  </w:style>
  <w:style w:type="character" w:customStyle="1" w:styleId="ListLabel157">
    <w:name w:val="ListLabel 157"/>
    <w:qFormat/>
    <w:rsid w:val="003B53EA"/>
    <w:rPr>
      <w:rFonts w:cs="OpenSymbol"/>
    </w:rPr>
  </w:style>
  <w:style w:type="character" w:customStyle="1" w:styleId="ListLabel158">
    <w:name w:val="ListLabel 158"/>
    <w:qFormat/>
    <w:rsid w:val="003B53EA"/>
    <w:rPr>
      <w:rFonts w:cs="OpenSymbol"/>
    </w:rPr>
  </w:style>
  <w:style w:type="character" w:customStyle="1" w:styleId="ListLabel159">
    <w:name w:val="ListLabel 159"/>
    <w:qFormat/>
    <w:rsid w:val="003B53EA"/>
    <w:rPr>
      <w:rFonts w:cs="OpenSymbol"/>
    </w:rPr>
  </w:style>
  <w:style w:type="character" w:customStyle="1" w:styleId="ListLabel160">
    <w:name w:val="ListLabel 160"/>
    <w:qFormat/>
    <w:rsid w:val="003B53EA"/>
    <w:rPr>
      <w:rFonts w:cs="OpenSymbol"/>
    </w:rPr>
  </w:style>
  <w:style w:type="character" w:customStyle="1" w:styleId="ListLabel161">
    <w:name w:val="ListLabel 161"/>
    <w:qFormat/>
    <w:rsid w:val="003B53EA"/>
    <w:rPr>
      <w:rFonts w:cs="OpenSymbol"/>
    </w:rPr>
  </w:style>
  <w:style w:type="character" w:customStyle="1" w:styleId="ListLabel162">
    <w:name w:val="ListLabel 162"/>
    <w:qFormat/>
    <w:rsid w:val="003B53EA"/>
    <w:rPr>
      <w:rFonts w:cs="Times New Roman"/>
    </w:rPr>
  </w:style>
  <w:style w:type="character" w:customStyle="1" w:styleId="ListLabel163">
    <w:name w:val="ListLabel 163"/>
    <w:qFormat/>
    <w:rsid w:val="003B53EA"/>
    <w:rPr>
      <w:rFonts w:cs="Times New Roman"/>
    </w:rPr>
  </w:style>
  <w:style w:type="character" w:customStyle="1" w:styleId="ListLabel164">
    <w:name w:val="ListLabel 164"/>
    <w:qFormat/>
    <w:rsid w:val="003B53EA"/>
    <w:rPr>
      <w:rFonts w:cs="Times New Roman"/>
    </w:rPr>
  </w:style>
  <w:style w:type="character" w:customStyle="1" w:styleId="ListLabel165">
    <w:name w:val="ListLabel 165"/>
    <w:qFormat/>
    <w:rsid w:val="003B53EA"/>
    <w:rPr>
      <w:rFonts w:cs="Times New Roman"/>
    </w:rPr>
  </w:style>
  <w:style w:type="character" w:customStyle="1" w:styleId="ListLabel166">
    <w:name w:val="ListLabel 166"/>
    <w:qFormat/>
    <w:rsid w:val="003B53EA"/>
    <w:rPr>
      <w:rFonts w:cs="Times New Roman"/>
    </w:rPr>
  </w:style>
  <w:style w:type="character" w:customStyle="1" w:styleId="ListLabel167">
    <w:name w:val="ListLabel 167"/>
    <w:qFormat/>
    <w:rsid w:val="003B53EA"/>
    <w:rPr>
      <w:rFonts w:cs="Times New Roman"/>
    </w:rPr>
  </w:style>
  <w:style w:type="character" w:customStyle="1" w:styleId="ListLabel168">
    <w:name w:val="ListLabel 168"/>
    <w:qFormat/>
    <w:rsid w:val="003B53EA"/>
    <w:rPr>
      <w:rFonts w:ascii="Times New Roman" w:hAnsi="Times New Roman" w:cs="OpenSymbol"/>
      <w:sz w:val="20"/>
    </w:rPr>
  </w:style>
  <w:style w:type="character" w:customStyle="1" w:styleId="ListLabel169">
    <w:name w:val="ListLabel 169"/>
    <w:qFormat/>
    <w:rsid w:val="003B53EA"/>
    <w:rPr>
      <w:rFonts w:cs="OpenSymbol"/>
    </w:rPr>
  </w:style>
  <w:style w:type="character" w:customStyle="1" w:styleId="ListLabel170">
    <w:name w:val="ListLabel 170"/>
    <w:qFormat/>
    <w:rsid w:val="003B53EA"/>
    <w:rPr>
      <w:rFonts w:cs="OpenSymbol"/>
    </w:rPr>
  </w:style>
  <w:style w:type="character" w:customStyle="1" w:styleId="ListLabel171">
    <w:name w:val="ListLabel 171"/>
    <w:qFormat/>
    <w:rsid w:val="003B53EA"/>
    <w:rPr>
      <w:rFonts w:cs="OpenSymbol"/>
    </w:rPr>
  </w:style>
  <w:style w:type="character" w:customStyle="1" w:styleId="ListLabel172">
    <w:name w:val="ListLabel 172"/>
    <w:qFormat/>
    <w:rsid w:val="003B53EA"/>
    <w:rPr>
      <w:rFonts w:cs="OpenSymbol"/>
    </w:rPr>
  </w:style>
  <w:style w:type="character" w:customStyle="1" w:styleId="ListLabel173">
    <w:name w:val="ListLabel 173"/>
    <w:qFormat/>
    <w:rsid w:val="003B53EA"/>
    <w:rPr>
      <w:rFonts w:cs="OpenSymbol"/>
    </w:rPr>
  </w:style>
  <w:style w:type="character" w:customStyle="1" w:styleId="ListLabel174">
    <w:name w:val="ListLabel 174"/>
    <w:qFormat/>
    <w:rsid w:val="003B53EA"/>
    <w:rPr>
      <w:rFonts w:cs="OpenSymbol"/>
    </w:rPr>
  </w:style>
  <w:style w:type="character" w:customStyle="1" w:styleId="ListLabel175">
    <w:name w:val="ListLabel 175"/>
    <w:qFormat/>
    <w:rsid w:val="003B53EA"/>
    <w:rPr>
      <w:rFonts w:cs="OpenSymbol"/>
    </w:rPr>
  </w:style>
  <w:style w:type="character" w:customStyle="1" w:styleId="ListLabel176">
    <w:name w:val="ListLabel 176"/>
    <w:qFormat/>
    <w:rsid w:val="003B53EA"/>
    <w:rPr>
      <w:rFonts w:cs="OpenSymbol"/>
    </w:rPr>
  </w:style>
  <w:style w:type="character" w:customStyle="1" w:styleId="ListLabel177">
    <w:name w:val="ListLabel 177"/>
    <w:qFormat/>
    <w:rsid w:val="003B53EA"/>
    <w:rPr>
      <w:rFonts w:cs="OpenSymbol"/>
    </w:rPr>
  </w:style>
  <w:style w:type="character" w:customStyle="1" w:styleId="ListLabel178">
    <w:name w:val="ListLabel 178"/>
    <w:qFormat/>
    <w:rsid w:val="003B53EA"/>
    <w:rPr>
      <w:rFonts w:cs="OpenSymbol"/>
    </w:rPr>
  </w:style>
  <w:style w:type="character" w:customStyle="1" w:styleId="ListLabel179">
    <w:name w:val="ListLabel 179"/>
    <w:qFormat/>
    <w:rsid w:val="003B53EA"/>
    <w:rPr>
      <w:rFonts w:cs="OpenSymbol"/>
    </w:rPr>
  </w:style>
  <w:style w:type="character" w:customStyle="1" w:styleId="ListLabel180">
    <w:name w:val="ListLabel 180"/>
    <w:qFormat/>
    <w:rsid w:val="003B53EA"/>
    <w:rPr>
      <w:rFonts w:cs="OpenSymbol"/>
    </w:rPr>
  </w:style>
  <w:style w:type="character" w:customStyle="1" w:styleId="ListLabel181">
    <w:name w:val="ListLabel 181"/>
    <w:qFormat/>
    <w:rsid w:val="003B53EA"/>
    <w:rPr>
      <w:rFonts w:cs="OpenSymbol"/>
    </w:rPr>
  </w:style>
  <w:style w:type="character" w:customStyle="1" w:styleId="ListLabel182">
    <w:name w:val="ListLabel 182"/>
    <w:qFormat/>
    <w:rsid w:val="003B53EA"/>
    <w:rPr>
      <w:rFonts w:cs="OpenSymbol"/>
    </w:rPr>
  </w:style>
  <w:style w:type="character" w:customStyle="1" w:styleId="ListLabel183">
    <w:name w:val="ListLabel 183"/>
    <w:qFormat/>
    <w:rsid w:val="003B53EA"/>
    <w:rPr>
      <w:rFonts w:cs="OpenSymbol"/>
    </w:rPr>
  </w:style>
  <w:style w:type="character" w:customStyle="1" w:styleId="ListLabel184">
    <w:name w:val="ListLabel 184"/>
    <w:qFormat/>
    <w:rsid w:val="003B53EA"/>
    <w:rPr>
      <w:rFonts w:cs="OpenSymbol"/>
    </w:rPr>
  </w:style>
  <w:style w:type="character" w:customStyle="1" w:styleId="ListLabel185">
    <w:name w:val="ListLabel 185"/>
    <w:qFormat/>
    <w:rsid w:val="003B53EA"/>
    <w:rPr>
      <w:rFonts w:cs="OpenSymbol"/>
    </w:rPr>
  </w:style>
  <w:style w:type="character" w:customStyle="1" w:styleId="ListLabel186">
    <w:name w:val="ListLabel 186"/>
    <w:qFormat/>
    <w:rsid w:val="003B53EA"/>
    <w:rPr>
      <w:rFonts w:cs="Times New Roman"/>
    </w:rPr>
  </w:style>
  <w:style w:type="character" w:customStyle="1" w:styleId="ListLabel187">
    <w:name w:val="ListLabel 187"/>
    <w:qFormat/>
    <w:rsid w:val="003B53EA"/>
    <w:rPr>
      <w:rFonts w:cs="Times New Roman"/>
    </w:rPr>
  </w:style>
  <w:style w:type="character" w:customStyle="1" w:styleId="ListLabel188">
    <w:name w:val="ListLabel 188"/>
    <w:qFormat/>
    <w:rsid w:val="003B53EA"/>
    <w:rPr>
      <w:rFonts w:cs="Times New Roman"/>
    </w:rPr>
  </w:style>
  <w:style w:type="character" w:customStyle="1" w:styleId="ListLabel189">
    <w:name w:val="ListLabel 189"/>
    <w:qFormat/>
    <w:rsid w:val="003B53EA"/>
    <w:rPr>
      <w:rFonts w:cs="Times New Roman"/>
    </w:rPr>
  </w:style>
  <w:style w:type="character" w:customStyle="1" w:styleId="ListLabel190">
    <w:name w:val="ListLabel 190"/>
    <w:qFormat/>
    <w:rsid w:val="003B53EA"/>
    <w:rPr>
      <w:rFonts w:cs="Times New Roman"/>
    </w:rPr>
  </w:style>
  <w:style w:type="character" w:customStyle="1" w:styleId="ListLabel191">
    <w:name w:val="ListLabel 191"/>
    <w:qFormat/>
    <w:rsid w:val="003B53EA"/>
    <w:rPr>
      <w:rFonts w:cs="Times New Roman"/>
    </w:rPr>
  </w:style>
  <w:style w:type="character" w:customStyle="1" w:styleId="ListLabel192">
    <w:name w:val="ListLabel 192"/>
    <w:qFormat/>
    <w:rsid w:val="003B53EA"/>
    <w:rPr>
      <w:rFonts w:ascii="Times New Roman" w:hAnsi="Times New Roman" w:cs="OpenSymbol"/>
      <w:sz w:val="20"/>
    </w:rPr>
  </w:style>
  <w:style w:type="character" w:customStyle="1" w:styleId="ListLabel193">
    <w:name w:val="ListLabel 193"/>
    <w:qFormat/>
    <w:rsid w:val="003B53EA"/>
    <w:rPr>
      <w:rFonts w:cs="OpenSymbol"/>
    </w:rPr>
  </w:style>
  <w:style w:type="character" w:customStyle="1" w:styleId="ListLabel194">
    <w:name w:val="ListLabel 194"/>
    <w:qFormat/>
    <w:rsid w:val="003B53EA"/>
    <w:rPr>
      <w:rFonts w:cs="OpenSymbol"/>
    </w:rPr>
  </w:style>
  <w:style w:type="character" w:customStyle="1" w:styleId="ListLabel195">
    <w:name w:val="ListLabel 195"/>
    <w:qFormat/>
    <w:rsid w:val="003B53EA"/>
    <w:rPr>
      <w:rFonts w:cs="OpenSymbol"/>
    </w:rPr>
  </w:style>
  <w:style w:type="character" w:customStyle="1" w:styleId="ListLabel196">
    <w:name w:val="ListLabel 196"/>
    <w:qFormat/>
    <w:rsid w:val="003B53EA"/>
    <w:rPr>
      <w:rFonts w:cs="OpenSymbol"/>
    </w:rPr>
  </w:style>
  <w:style w:type="character" w:customStyle="1" w:styleId="ListLabel197">
    <w:name w:val="ListLabel 197"/>
    <w:qFormat/>
    <w:rsid w:val="003B53EA"/>
    <w:rPr>
      <w:rFonts w:cs="OpenSymbol"/>
    </w:rPr>
  </w:style>
  <w:style w:type="character" w:customStyle="1" w:styleId="ListLabel198">
    <w:name w:val="ListLabel 198"/>
    <w:qFormat/>
    <w:rsid w:val="003B53EA"/>
    <w:rPr>
      <w:rFonts w:cs="OpenSymbol"/>
    </w:rPr>
  </w:style>
  <w:style w:type="character" w:customStyle="1" w:styleId="ListLabel199">
    <w:name w:val="ListLabel 199"/>
    <w:qFormat/>
    <w:rsid w:val="003B53EA"/>
    <w:rPr>
      <w:rFonts w:cs="OpenSymbol"/>
    </w:rPr>
  </w:style>
  <w:style w:type="character" w:customStyle="1" w:styleId="ListLabel200">
    <w:name w:val="ListLabel 200"/>
    <w:qFormat/>
    <w:rsid w:val="003B53EA"/>
    <w:rPr>
      <w:rFonts w:cs="OpenSymbol"/>
    </w:rPr>
  </w:style>
  <w:style w:type="character" w:customStyle="1" w:styleId="ListLabel201">
    <w:name w:val="ListLabel 201"/>
    <w:qFormat/>
    <w:rsid w:val="003B53EA"/>
    <w:rPr>
      <w:rFonts w:cs="OpenSymbol"/>
    </w:rPr>
  </w:style>
  <w:style w:type="character" w:customStyle="1" w:styleId="ListLabel202">
    <w:name w:val="ListLabel 202"/>
    <w:qFormat/>
    <w:rsid w:val="003B53EA"/>
    <w:rPr>
      <w:rFonts w:cs="OpenSymbol"/>
    </w:rPr>
  </w:style>
  <w:style w:type="character" w:customStyle="1" w:styleId="ListLabel203">
    <w:name w:val="ListLabel 203"/>
    <w:qFormat/>
    <w:rsid w:val="003B53EA"/>
    <w:rPr>
      <w:rFonts w:cs="OpenSymbol"/>
    </w:rPr>
  </w:style>
  <w:style w:type="character" w:customStyle="1" w:styleId="ListLabel204">
    <w:name w:val="ListLabel 204"/>
    <w:qFormat/>
    <w:rsid w:val="003B53EA"/>
    <w:rPr>
      <w:rFonts w:cs="OpenSymbol"/>
    </w:rPr>
  </w:style>
  <w:style w:type="character" w:customStyle="1" w:styleId="ListLabel205">
    <w:name w:val="ListLabel 205"/>
    <w:qFormat/>
    <w:rsid w:val="003B53EA"/>
    <w:rPr>
      <w:rFonts w:cs="OpenSymbol"/>
    </w:rPr>
  </w:style>
  <w:style w:type="character" w:customStyle="1" w:styleId="ListLabel206">
    <w:name w:val="ListLabel 206"/>
    <w:qFormat/>
    <w:rsid w:val="003B53EA"/>
    <w:rPr>
      <w:rFonts w:cs="OpenSymbol"/>
    </w:rPr>
  </w:style>
  <w:style w:type="character" w:customStyle="1" w:styleId="ListLabel207">
    <w:name w:val="ListLabel 207"/>
    <w:qFormat/>
    <w:rsid w:val="003B53EA"/>
    <w:rPr>
      <w:rFonts w:cs="OpenSymbol"/>
    </w:rPr>
  </w:style>
  <w:style w:type="character" w:customStyle="1" w:styleId="ListLabel208">
    <w:name w:val="ListLabel 208"/>
    <w:qFormat/>
    <w:rsid w:val="003B53EA"/>
    <w:rPr>
      <w:rFonts w:cs="OpenSymbol"/>
    </w:rPr>
  </w:style>
  <w:style w:type="character" w:customStyle="1" w:styleId="ListLabel209">
    <w:name w:val="ListLabel 209"/>
    <w:qFormat/>
    <w:rsid w:val="003B53EA"/>
    <w:rPr>
      <w:rFonts w:cs="OpenSymbol"/>
    </w:rPr>
  </w:style>
  <w:style w:type="character" w:customStyle="1" w:styleId="ListLabel210">
    <w:name w:val="ListLabel 210"/>
    <w:qFormat/>
    <w:rsid w:val="003B53EA"/>
    <w:rPr>
      <w:rFonts w:cs="Times New Roman"/>
    </w:rPr>
  </w:style>
  <w:style w:type="character" w:customStyle="1" w:styleId="ListLabel211">
    <w:name w:val="ListLabel 211"/>
    <w:qFormat/>
    <w:rsid w:val="003B53EA"/>
    <w:rPr>
      <w:rFonts w:cs="Times New Roman"/>
    </w:rPr>
  </w:style>
  <w:style w:type="character" w:customStyle="1" w:styleId="ListLabel212">
    <w:name w:val="ListLabel 212"/>
    <w:qFormat/>
    <w:rsid w:val="003B53EA"/>
    <w:rPr>
      <w:rFonts w:cs="Times New Roman"/>
    </w:rPr>
  </w:style>
  <w:style w:type="character" w:customStyle="1" w:styleId="ListLabel213">
    <w:name w:val="ListLabel 213"/>
    <w:qFormat/>
    <w:rsid w:val="003B53EA"/>
    <w:rPr>
      <w:rFonts w:cs="Times New Roman"/>
    </w:rPr>
  </w:style>
  <w:style w:type="character" w:customStyle="1" w:styleId="ListLabel214">
    <w:name w:val="ListLabel 214"/>
    <w:qFormat/>
    <w:rsid w:val="003B53EA"/>
    <w:rPr>
      <w:rFonts w:cs="Times New Roman"/>
    </w:rPr>
  </w:style>
  <w:style w:type="character" w:customStyle="1" w:styleId="ListLabel215">
    <w:name w:val="ListLabel 215"/>
    <w:qFormat/>
    <w:rsid w:val="003B53EA"/>
    <w:rPr>
      <w:rFonts w:cs="Times New Roman"/>
    </w:rPr>
  </w:style>
  <w:style w:type="character" w:customStyle="1" w:styleId="ListLabel216">
    <w:name w:val="ListLabel 216"/>
    <w:qFormat/>
    <w:rsid w:val="003B53EA"/>
    <w:rPr>
      <w:rFonts w:ascii="Times New Roman" w:hAnsi="Times New Roman" w:cs="OpenSymbol"/>
      <w:sz w:val="20"/>
    </w:rPr>
  </w:style>
  <w:style w:type="character" w:customStyle="1" w:styleId="ListLabel217">
    <w:name w:val="ListLabel 217"/>
    <w:qFormat/>
    <w:rsid w:val="003B53EA"/>
    <w:rPr>
      <w:rFonts w:cs="OpenSymbol"/>
    </w:rPr>
  </w:style>
  <w:style w:type="character" w:customStyle="1" w:styleId="ListLabel218">
    <w:name w:val="ListLabel 218"/>
    <w:qFormat/>
    <w:rsid w:val="003B53EA"/>
    <w:rPr>
      <w:rFonts w:cs="OpenSymbol"/>
    </w:rPr>
  </w:style>
  <w:style w:type="character" w:customStyle="1" w:styleId="ListLabel219">
    <w:name w:val="ListLabel 219"/>
    <w:qFormat/>
    <w:rsid w:val="003B53EA"/>
    <w:rPr>
      <w:rFonts w:cs="OpenSymbol"/>
    </w:rPr>
  </w:style>
  <w:style w:type="character" w:customStyle="1" w:styleId="ListLabel220">
    <w:name w:val="ListLabel 220"/>
    <w:qFormat/>
    <w:rsid w:val="003B53EA"/>
    <w:rPr>
      <w:rFonts w:cs="OpenSymbol"/>
    </w:rPr>
  </w:style>
  <w:style w:type="character" w:customStyle="1" w:styleId="ListLabel221">
    <w:name w:val="ListLabel 221"/>
    <w:qFormat/>
    <w:rsid w:val="003B53EA"/>
    <w:rPr>
      <w:rFonts w:cs="OpenSymbol"/>
    </w:rPr>
  </w:style>
  <w:style w:type="character" w:customStyle="1" w:styleId="ListLabel222">
    <w:name w:val="ListLabel 222"/>
    <w:qFormat/>
    <w:rsid w:val="003B53EA"/>
    <w:rPr>
      <w:rFonts w:cs="OpenSymbol"/>
    </w:rPr>
  </w:style>
  <w:style w:type="character" w:customStyle="1" w:styleId="ListLabel223">
    <w:name w:val="ListLabel 223"/>
    <w:qFormat/>
    <w:rsid w:val="003B53EA"/>
    <w:rPr>
      <w:rFonts w:cs="OpenSymbol"/>
    </w:rPr>
  </w:style>
  <w:style w:type="character" w:customStyle="1" w:styleId="ListLabel224">
    <w:name w:val="ListLabel 224"/>
    <w:qFormat/>
    <w:rsid w:val="003B53EA"/>
    <w:rPr>
      <w:rFonts w:cs="OpenSymbol"/>
    </w:rPr>
  </w:style>
  <w:style w:type="character" w:customStyle="1" w:styleId="ListLabel225">
    <w:name w:val="ListLabel 225"/>
    <w:qFormat/>
    <w:rsid w:val="003B53EA"/>
    <w:rPr>
      <w:rFonts w:cs="OpenSymbol"/>
    </w:rPr>
  </w:style>
  <w:style w:type="character" w:customStyle="1" w:styleId="ListLabel226">
    <w:name w:val="ListLabel 226"/>
    <w:qFormat/>
    <w:rsid w:val="003B53EA"/>
    <w:rPr>
      <w:rFonts w:cs="OpenSymbol"/>
    </w:rPr>
  </w:style>
  <w:style w:type="character" w:customStyle="1" w:styleId="ListLabel227">
    <w:name w:val="ListLabel 227"/>
    <w:qFormat/>
    <w:rsid w:val="003B53EA"/>
    <w:rPr>
      <w:rFonts w:cs="OpenSymbol"/>
    </w:rPr>
  </w:style>
  <w:style w:type="character" w:customStyle="1" w:styleId="ListLabel228">
    <w:name w:val="ListLabel 228"/>
    <w:qFormat/>
    <w:rsid w:val="003B53EA"/>
    <w:rPr>
      <w:rFonts w:cs="OpenSymbol"/>
    </w:rPr>
  </w:style>
  <w:style w:type="character" w:customStyle="1" w:styleId="ListLabel229">
    <w:name w:val="ListLabel 229"/>
    <w:qFormat/>
    <w:rsid w:val="003B53EA"/>
    <w:rPr>
      <w:rFonts w:cs="OpenSymbol"/>
    </w:rPr>
  </w:style>
  <w:style w:type="character" w:customStyle="1" w:styleId="ListLabel230">
    <w:name w:val="ListLabel 230"/>
    <w:qFormat/>
    <w:rsid w:val="003B53EA"/>
    <w:rPr>
      <w:rFonts w:cs="OpenSymbol"/>
    </w:rPr>
  </w:style>
  <w:style w:type="character" w:customStyle="1" w:styleId="ListLabel231">
    <w:name w:val="ListLabel 231"/>
    <w:qFormat/>
    <w:rsid w:val="003B53EA"/>
    <w:rPr>
      <w:rFonts w:cs="OpenSymbol"/>
    </w:rPr>
  </w:style>
  <w:style w:type="character" w:customStyle="1" w:styleId="ListLabel232">
    <w:name w:val="ListLabel 232"/>
    <w:qFormat/>
    <w:rsid w:val="003B53EA"/>
    <w:rPr>
      <w:rFonts w:cs="OpenSymbol"/>
    </w:rPr>
  </w:style>
  <w:style w:type="character" w:customStyle="1" w:styleId="ListLabel233">
    <w:name w:val="ListLabel 233"/>
    <w:qFormat/>
    <w:rsid w:val="003B53EA"/>
    <w:rPr>
      <w:rFonts w:cs="OpenSymbol"/>
    </w:rPr>
  </w:style>
  <w:style w:type="character" w:customStyle="1" w:styleId="Tekstpodstawowy3Znak">
    <w:name w:val="Tekst podstawowy 3 Znak"/>
    <w:qFormat/>
    <w:rsid w:val="003B53EA"/>
    <w:rPr>
      <w:sz w:val="16"/>
      <w:szCs w:val="16"/>
    </w:rPr>
  </w:style>
  <w:style w:type="character" w:customStyle="1" w:styleId="ListLabel234">
    <w:name w:val="ListLabel 234"/>
    <w:qFormat/>
    <w:rsid w:val="00BC5C4A"/>
    <w:rPr>
      <w:rFonts w:cs="Times New Roman"/>
    </w:rPr>
  </w:style>
  <w:style w:type="character" w:customStyle="1" w:styleId="ListLabel235">
    <w:name w:val="ListLabel 235"/>
    <w:qFormat/>
    <w:rsid w:val="00BC5C4A"/>
    <w:rPr>
      <w:rFonts w:cs="Times New Roman"/>
    </w:rPr>
  </w:style>
  <w:style w:type="character" w:customStyle="1" w:styleId="ListLabel236">
    <w:name w:val="ListLabel 236"/>
    <w:qFormat/>
    <w:rsid w:val="00BC5C4A"/>
    <w:rPr>
      <w:rFonts w:cs="Times New Roman"/>
    </w:rPr>
  </w:style>
  <w:style w:type="character" w:customStyle="1" w:styleId="ListLabel237">
    <w:name w:val="ListLabel 237"/>
    <w:qFormat/>
    <w:rsid w:val="00BC5C4A"/>
    <w:rPr>
      <w:rFonts w:cs="Times New Roman"/>
    </w:rPr>
  </w:style>
  <w:style w:type="character" w:customStyle="1" w:styleId="ListLabel238">
    <w:name w:val="ListLabel 238"/>
    <w:qFormat/>
    <w:rsid w:val="00BC5C4A"/>
    <w:rPr>
      <w:rFonts w:cs="Times New Roman"/>
    </w:rPr>
  </w:style>
  <w:style w:type="character" w:customStyle="1" w:styleId="ListLabel239">
    <w:name w:val="ListLabel 239"/>
    <w:qFormat/>
    <w:rsid w:val="00BC5C4A"/>
    <w:rPr>
      <w:rFonts w:cs="Times New Roman"/>
    </w:rPr>
  </w:style>
  <w:style w:type="character" w:customStyle="1" w:styleId="ListLabel240">
    <w:name w:val="ListLabel 240"/>
    <w:qFormat/>
    <w:rsid w:val="00BC5C4A"/>
    <w:rPr>
      <w:rFonts w:cs="OpenSymbol"/>
      <w:sz w:val="22"/>
    </w:rPr>
  </w:style>
  <w:style w:type="character" w:customStyle="1" w:styleId="ListLabel241">
    <w:name w:val="ListLabel 241"/>
    <w:qFormat/>
    <w:rsid w:val="00BC5C4A"/>
    <w:rPr>
      <w:rFonts w:cs="OpenSymbol"/>
    </w:rPr>
  </w:style>
  <w:style w:type="character" w:customStyle="1" w:styleId="ListLabel242">
    <w:name w:val="ListLabel 242"/>
    <w:qFormat/>
    <w:rsid w:val="00BC5C4A"/>
    <w:rPr>
      <w:rFonts w:cs="OpenSymbol"/>
    </w:rPr>
  </w:style>
  <w:style w:type="character" w:customStyle="1" w:styleId="ListLabel243">
    <w:name w:val="ListLabel 243"/>
    <w:qFormat/>
    <w:rsid w:val="00BC5C4A"/>
    <w:rPr>
      <w:rFonts w:cs="OpenSymbol"/>
    </w:rPr>
  </w:style>
  <w:style w:type="character" w:customStyle="1" w:styleId="ListLabel244">
    <w:name w:val="ListLabel 244"/>
    <w:qFormat/>
    <w:rsid w:val="00BC5C4A"/>
    <w:rPr>
      <w:rFonts w:cs="OpenSymbol"/>
    </w:rPr>
  </w:style>
  <w:style w:type="character" w:customStyle="1" w:styleId="ListLabel245">
    <w:name w:val="ListLabel 245"/>
    <w:qFormat/>
    <w:rsid w:val="00BC5C4A"/>
    <w:rPr>
      <w:rFonts w:cs="OpenSymbol"/>
    </w:rPr>
  </w:style>
  <w:style w:type="character" w:customStyle="1" w:styleId="ListLabel246">
    <w:name w:val="ListLabel 246"/>
    <w:qFormat/>
    <w:rsid w:val="00BC5C4A"/>
    <w:rPr>
      <w:rFonts w:cs="OpenSymbol"/>
    </w:rPr>
  </w:style>
  <w:style w:type="character" w:customStyle="1" w:styleId="ListLabel247">
    <w:name w:val="ListLabel 247"/>
    <w:qFormat/>
    <w:rsid w:val="00BC5C4A"/>
    <w:rPr>
      <w:rFonts w:cs="OpenSymbol"/>
    </w:rPr>
  </w:style>
  <w:style w:type="character" w:customStyle="1" w:styleId="ListLabel248">
    <w:name w:val="ListLabel 248"/>
    <w:qFormat/>
    <w:rsid w:val="00BC5C4A"/>
    <w:rPr>
      <w:rFonts w:cs="OpenSymbol"/>
    </w:rPr>
  </w:style>
  <w:style w:type="character" w:customStyle="1" w:styleId="ListLabel249">
    <w:name w:val="ListLabel 249"/>
    <w:qFormat/>
    <w:rsid w:val="00BC5C4A"/>
    <w:rPr>
      <w:rFonts w:cs="OpenSymbol"/>
      <w:sz w:val="22"/>
    </w:rPr>
  </w:style>
  <w:style w:type="character" w:customStyle="1" w:styleId="ListLabel250">
    <w:name w:val="ListLabel 250"/>
    <w:qFormat/>
    <w:rsid w:val="00BC5C4A"/>
    <w:rPr>
      <w:rFonts w:cs="OpenSymbol"/>
    </w:rPr>
  </w:style>
  <w:style w:type="character" w:customStyle="1" w:styleId="ListLabel251">
    <w:name w:val="ListLabel 251"/>
    <w:qFormat/>
    <w:rsid w:val="00BC5C4A"/>
    <w:rPr>
      <w:rFonts w:cs="OpenSymbol"/>
    </w:rPr>
  </w:style>
  <w:style w:type="character" w:customStyle="1" w:styleId="ListLabel252">
    <w:name w:val="ListLabel 252"/>
    <w:qFormat/>
    <w:rsid w:val="00BC5C4A"/>
    <w:rPr>
      <w:rFonts w:cs="OpenSymbol"/>
    </w:rPr>
  </w:style>
  <w:style w:type="character" w:customStyle="1" w:styleId="ListLabel253">
    <w:name w:val="ListLabel 253"/>
    <w:qFormat/>
    <w:rsid w:val="00BC5C4A"/>
    <w:rPr>
      <w:rFonts w:cs="OpenSymbol"/>
    </w:rPr>
  </w:style>
  <w:style w:type="character" w:customStyle="1" w:styleId="ListLabel254">
    <w:name w:val="ListLabel 254"/>
    <w:qFormat/>
    <w:rsid w:val="00BC5C4A"/>
    <w:rPr>
      <w:rFonts w:cs="OpenSymbol"/>
    </w:rPr>
  </w:style>
  <w:style w:type="character" w:customStyle="1" w:styleId="ListLabel255">
    <w:name w:val="ListLabel 255"/>
    <w:qFormat/>
    <w:rsid w:val="00BC5C4A"/>
    <w:rPr>
      <w:rFonts w:cs="OpenSymbol"/>
    </w:rPr>
  </w:style>
  <w:style w:type="character" w:customStyle="1" w:styleId="ListLabel256">
    <w:name w:val="ListLabel 256"/>
    <w:qFormat/>
    <w:rsid w:val="00BC5C4A"/>
    <w:rPr>
      <w:rFonts w:cs="OpenSymbol"/>
    </w:rPr>
  </w:style>
  <w:style w:type="character" w:customStyle="1" w:styleId="ListLabel257">
    <w:name w:val="ListLabel 257"/>
    <w:qFormat/>
    <w:rsid w:val="00BC5C4A"/>
    <w:rPr>
      <w:rFonts w:cs="OpenSymbol"/>
    </w:rPr>
  </w:style>
  <w:style w:type="paragraph" w:styleId="Nagwek">
    <w:name w:val="header"/>
    <w:basedOn w:val="Normalny"/>
    <w:next w:val="Tekstpodstawowy"/>
    <w:qFormat/>
    <w:rsid w:val="00BC5C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53EA"/>
    <w:pPr>
      <w:spacing w:line="300" w:lineRule="exact"/>
    </w:pPr>
    <w:rPr>
      <w:sz w:val="26"/>
    </w:rPr>
  </w:style>
  <w:style w:type="paragraph" w:styleId="Lista">
    <w:name w:val="List"/>
    <w:basedOn w:val="Tekstpodstawowy"/>
    <w:rsid w:val="003B53EA"/>
    <w:rPr>
      <w:rFonts w:cs="Mangal"/>
    </w:rPr>
  </w:style>
  <w:style w:type="paragraph" w:customStyle="1" w:styleId="Caption">
    <w:name w:val="Caption"/>
    <w:basedOn w:val="Normalny"/>
    <w:qFormat/>
    <w:rsid w:val="003B5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53EA"/>
    <w:pPr>
      <w:suppressLineNumbers/>
    </w:pPr>
    <w:rPr>
      <w:rFonts w:cs="Mangal"/>
    </w:rPr>
  </w:style>
  <w:style w:type="paragraph" w:customStyle="1" w:styleId="Header">
    <w:name w:val="Header"/>
    <w:basedOn w:val="Normalny"/>
    <w:rsid w:val="003B53E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3B53EA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EndnoteSymbol">
    <w:name w:val="Endnote Symbol"/>
    <w:basedOn w:val="Normalny"/>
    <w:qFormat/>
    <w:rsid w:val="003B53EA"/>
  </w:style>
  <w:style w:type="paragraph" w:styleId="Tekstdymka">
    <w:name w:val="Balloon Text"/>
    <w:basedOn w:val="Normalny"/>
    <w:qFormat/>
    <w:rsid w:val="003B53EA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rsid w:val="003B53E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B53EA"/>
    <w:pPr>
      <w:spacing w:after="120"/>
      <w:ind w:left="283"/>
    </w:pPr>
  </w:style>
  <w:style w:type="paragraph" w:customStyle="1" w:styleId="Zawartotabeli">
    <w:name w:val="Zawartość tabeli"/>
    <w:basedOn w:val="Normalny"/>
    <w:qFormat/>
    <w:rsid w:val="003B53EA"/>
    <w:pPr>
      <w:suppressLineNumbers/>
    </w:pPr>
  </w:style>
  <w:style w:type="paragraph" w:customStyle="1" w:styleId="Nagwektabeli">
    <w:name w:val="Nagłówek tabeli"/>
    <w:basedOn w:val="Zawartotabeli"/>
    <w:qFormat/>
    <w:rsid w:val="003B53EA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3B53EA"/>
    <w:pPr>
      <w:spacing w:after="283"/>
      <w:ind w:left="567" w:right="567"/>
    </w:pPr>
  </w:style>
  <w:style w:type="paragraph" w:styleId="Tytu">
    <w:name w:val="Title"/>
    <w:basedOn w:val="Header"/>
    <w:qFormat/>
    <w:rsid w:val="003B53E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er"/>
    <w:qFormat/>
    <w:rsid w:val="003B53EA"/>
    <w:pPr>
      <w:spacing w:before="60"/>
      <w:jc w:val="center"/>
    </w:pPr>
    <w:rPr>
      <w:sz w:val="36"/>
      <w:szCs w:val="36"/>
    </w:rPr>
  </w:style>
  <w:style w:type="paragraph" w:customStyle="1" w:styleId="Tekstpodstawowy22">
    <w:name w:val="Tekst podstawowy 22"/>
    <w:basedOn w:val="Normalny"/>
    <w:qFormat/>
    <w:rsid w:val="00473AA8"/>
    <w:pPr>
      <w:spacing w:after="120" w:line="480" w:lineRule="auto"/>
    </w:pPr>
    <w:rPr>
      <w:rFonts w:ascii="Calibri" w:eastAsia="Droid Sans Fallback" w:hAnsi="Calibri" w:cs="Calibri"/>
      <w:sz w:val="22"/>
      <w:szCs w:val="22"/>
    </w:rPr>
  </w:style>
  <w:style w:type="numbering" w:customStyle="1" w:styleId="WW8Num1">
    <w:name w:val="WW8Num1"/>
    <w:qFormat/>
    <w:rsid w:val="003B53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dnia: 11</dc:title>
  <dc:creator>Organika</dc:creator>
  <cp:lastModifiedBy>user</cp:lastModifiedBy>
  <cp:revision>2</cp:revision>
  <cp:lastPrinted>2017-11-21T07:29:00Z</cp:lastPrinted>
  <dcterms:created xsi:type="dcterms:W3CDTF">2018-01-09T12:32:00Z</dcterms:created>
  <dcterms:modified xsi:type="dcterms:W3CDTF">2018-01-09T12:32:00Z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