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376B" w:rsidRDefault="0052376B">
      <w:pPr>
        <w:jc w:val="both"/>
        <w:rPr>
          <w:rFonts w:ascii="Carlito" w:hAnsi="Carlito" w:cs="Carlito"/>
          <w:szCs w:val="18"/>
        </w:rPr>
      </w:pPr>
    </w:p>
    <w:p w:rsidR="0052376B" w:rsidRDefault="0052376B">
      <w:pPr>
        <w:rPr>
          <w:rFonts w:ascii="Carlito" w:hAnsi="Carlito" w:cs="Carlito"/>
          <w:szCs w:val="18"/>
        </w:rPr>
      </w:pPr>
    </w:p>
    <w:p w:rsidR="0052376B" w:rsidRDefault="0052376B">
      <w:r>
        <w:rPr>
          <w:rFonts w:ascii="Arial" w:hAnsi="Arial" w:cs="Arial"/>
          <w:b/>
          <w:szCs w:val="18"/>
        </w:rPr>
        <w:t>Dwukopułowa ledowa lampa operacyjna</w:t>
      </w:r>
    </w:p>
    <w:p w:rsidR="0052376B" w:rsidRDefault="0052376B">
      <w:pPr>
        <w:rPr>
          <w:rFonts w:ascii="Arial" w:hAnsi="Arial" w:cs="Arial"/>
          <w:b/>
          <w:szCs w:val="18"/>
        </w:rPr>
      </w:pPr>
    </w:p>
    <w:p w:rsidR="0052376B" w:rsidRDefault="0052376B">
      <w:pPr>
        <w:numPr>
          <w:ilvl w:val="0"/>
          <w:numId w:val="2"/>
        </w:numPr>
      </w:pPr>
      <w:r>
        <w:rPr>
          <w:rFonts w:ascii="Arial" w:hAnsi="Arial" w:cs="Arial"/>
        </w:rPr>
        <w:t>Prosimy o sprecyzowanie jaki zestaw lamp operacyjnych wymaga Zamawiający:</w:t>
      </w:r>
    </w:p>
    <w:p w:rsidR="0052376B" w:rsidRDefault="0052376B">
      <w:pPr>
        <w:ind w:left="720"/>
      </w:pPr>
      <w:r>
        <w:rPr>
          <w:rFonts w:ascii="Arial" w:hAnsi="Arial" w:cs="Arial"/>
        </w:rPr>
        <w:t>- czteroramienny dwie kopuły dwa monitory</w:t>
      </w:r>
    </w:p>
    <w:p w:rsidR="0052376B" w:rsidRDefault="0052376B">
      <w:pPr>
        <w:ind w:left="720"/>
      </w:pPr>
      <w:r>
        <w:rPr>
          <w:rFonts w:ascii="Arial" w:hAnsi="Arial" w:cs="Arial"/>
        </w:rPr>
        <w:t>- czteroramienny dwie kopuły jeden monitor</w:t>
      </w:r>
    </w:p>
    <w:p w:rsidR="0052376B" w:rsidRDefault="0052376B">
      <w:pPr>
        <w:ind w:left="720"/>
      </w:pPr>
      <w:r>
        <w:rPr>
          <w:rFonts w:ascii="Arial" w:hAnsi="Arial" w:cs="Arial"/>
        </w:rPr>
        <w:t>- czteroramienny dwie kopuły dwa ramiona pod monitor?</w:t>
      </w:r>
    </w:p>
    <w:p w:rsidR="0052376B" w:rsidRDefault="0052376B">
      <w:pPr>
        <w:ind w:left="720"/>
      </w:pPr>
      <w:r>
        <w:rPr>
          <w:rFonts w:ascii="Arial" w:hAnsi="Arial" w:cs="Arial"/>
          <w:highlight w:val="yellow"/>
        </w:rPr>
        <w:t>Zamawiający wymaga układu czteroramiennego z dwoma ramionami na monitor oraz dwoma kopułami</w:t>
      </w:r>
    </w:p>
    <w:p w:rsidR="0052376B" w:rsidRDefault="0052376B">
      <w:pPr>
        <w:ind w:left="720"/>
        <w:rPr>
          <w:rFonts w:ascii="Arial" w:hAnsi="Arial" w:cs="Arial"/>
        </w:rPr>
      </w:pPr>
    </w:p>
    <w:p w:rsidR="0052376B" w:rsidRDefault="0052376B">
      <w:pPr>
        <w:numPr>
          <w:ilvl w:val="0"/>
          <w:numId w:val="2"/>
        </w:numPr>
      </w:pPr>
      <w:r>
        <w:rPr>
          <w:rFonts w:ascii="Arial" w:hAnsi="Arial" w:cs="Arial"/>
        </w:rPr>
        <w:t>Czy Zamawiający dopuści zawieszenie czteroramienne, niewspółosiowe, w konfiguracji 2+2?</w:t>
      </w:r>
    </w:p>
    <w:p w:rsidR="0052376B" w:rsidRDefault="0052376B">
      <w:pPr>
        <w:ind w:left="720"/>
      </w:pPr>
      <w:r>
        <w:rPr>
          <w:rFonts w:ascii="Arial" w:hAnsi="Arial" w:cs="Arial"/>
          <w:highlight w:val="yellow"/>
        </w:rPr>
        <w:t xml:space="preserve">Zapisy SIWZ pozostają bez zmian – Zamawiający wymaga, aby na wspólnej osi głównej z kopułami zawieszone były dodatkowo dwa ramiona do zawieszenia monitorów </w:t>
      </w:r>
    </w:p>
    <w:p w:rsidR="0052376B" w:rsidRDefault="0052376B">
      <w:pPr>
        <w:rPr>
          <w:rFonts w:ascii="Arial" w:hAnsi="Arial" w:cs="Arial"/>
        </w:rPr>
      </w:pPr>
    </w:p>
    <w:p w:rsidR="0052376B" w:rsidRDefault="0052376B">
      <w:pPr>
        <w:numPr>
          <w:ilvl w:val="0"/>
          <w:numId w:val="2"/>
        </w:numPr>
      </w:pPr>
      <w:r>
        <w:rPr>
          <w:rFonts w:ascii="Arial" w:hAnsi="Arial" w:cs="Arial"/>
        </w:rPr>
        <w:t>Czy Zamawiający dopuści lampy operacyjne zakresem ruchu wysięgników czasz i monitora:</w:t>
      </w:r>
    </w:p>
    <w:p w:rsidR="0052376B" w:rsidRDefault="0052376B">
      <w:pPr>
        <w:ind w:left="720"/>
      </w:pPr>
      <w:r>
        <w:rPr>
          <w:rFonts w:ascii="Arial" w:hAnsi="Arial" w:cs="Arial"/>
        </w:rPr>
        <w:t>a)</w:t>
      </w:r>
      <w:r>
        <w:rPr>
          <w:rFonts w:ascii="Arial" w:hAnsi="Arial" w:cs="Arial"/>
          <w:b/>
        </w:rPr>
        <w:t>czasza z kamerą</w:t>
      </w:r>
      <w:r>
        <w:rPr>
          <w:rFonts w:ascii="Arial" w:hAnsi="Arial" w:cs="Arial"/>
        </w:rPr>
        <w:t xml:space="preserve"> </w:t>
      </w:r>
    </w:p>
    <w:p w:rsidR="0052376B" w:rsidRDefault="0052376B">
      <w:pPr>
        <w:ind w:left="720"/>
      </w:pPr>
      <w:r>
        <w:rPr>
          <w:rFonts w:ascii="Arial" w:hAnsi="Arial" w:cs="Arial"/>
        </w:rPr>
        <w:t>- obrót o 300° w osi głównej lampy (pionowa oś lampy),</w:t>
      </w:r>
    </w:p>
    <w:p w:rsidR="0052376B" w:rsidRDefault="0052376B">
      <w:pPr>
        <w:ind w:left="720"/>
      </w:pPr>
      <w:r>
        <w:rPr>
          <w:rFonts w:ascii="Arial" w:hAnsi="Arial" w:cs="Arial"/>
        </w:rPr>
        <w:t>- obrót o 300° w osi pośredniej  (pionowa oś pomiędzy ramieniem poziomym , a ramieniem uchylnym)</w:t>
      </w:r>
    </w:p>
    <w:p w:rsidR="0052376B" w:rsidRDefault="0052376B">
      <w:pPr>
        <w:ind w:left="720"/>
      </w:pPr>
      <w:r>
        <w:rPr>
          <w:rFonts w:ascii="Arial" w:hAnsi="Arial" w:cs="Arial"/>
        </w:rPr>
        <w:t>- obrót o 300° w osi czaszy  (pionowa oś pomiędzy ramieniem uchylnym, a przegubem</w:t>
      </w:r>
    </w:p>
    <w:p w:rsidR="0052376B" w:rsidRDefault="0052376B">
      <w:pPr>
        <w:ind w:left="720"/>
      </w:pPr>
      <w:r>
        <w:rPr>
          <w:rFonts w:ascii="Arial" w:hAnsi="Arial" w:cs="Arial"/>
        </w:rPr>
        <w:t>czaszy)</w:t>
      </w:r>
    </w:p>
    <w:p w:rsidR="0052376B" w:rsidRDefault="0052376B">
      <w:pPr>
        <w:ind w:left="720"/>
      </w:pPr>
      <w:r>
        <w:rPr>
          <w:rFonts w:ascii="Arial" w:hAnsi="Arial" w:cs="Arial"/>
        </w:rPr>
        <w:t>- regulacja góra/dół ramienia uchylnego 90°</w:t>
      </w:r>
    </w:p>
    <w:p w:rsidR="0052376B" w:rsidRDefault="0052376B">
      <w:pPr>
        <w:ind w:left="720"/>
      </w:pPr>
      <w:r>
        <w:rPr>
          <w:rFonts w:ascii="Arial" w:hAnsi="Arial" w:cs="Arial"/>
        </w:rPr>
        <w:t>b)</w:t>
      </w:r>
      <w:r>
        <w:rPr>
          <w:rFonts w:ascii="Arial" w:hAnsi="Arial" w:cs="Arial"/>
          <w:b/>
        </w:rPr>
        <w:t>czasza bez kamery</w:t>
      </w:r>
    </w:p>
    <w:p w:rsidR="0052376B" w:rsidRDefault="0052376B">
      <w:pPr>
        <w:ind w:left="720"/>
      </w:pPr>
      <w:r>
        <w:rPr>
          <w:rFonts w:ascii="Arial" w:hAnsi="Arial" w:cs="Arial"/>
          <w:b/>
        </w:rPr>
        <w:t>-</w:t>
      </w:r>
      <w:r>
        <w:rPr>
          <w:rFonts w:ascii="Arial" w:hAnsi="Arial" w:cs="Arial"/>
        </w:rPr>
        <w:t xml:space="preserve"> obrót o 360° w osi głównej lampy (pionowa oś lampy),</w:t>
      </w:r>
    </w:p>
    <w:p w:rsidR="0052376B" w:rsidRDefault="0052376B">
      <w:pPr>
        <w:ind w:left="720"/>
      </w:pPr>
      <w:r>
        <w:rPr>
          <w:rFonts w:ascii="Arial" w:hAnsi="Arial" w:cs="Arial"/>
        </w:rPr>
        <w:t>- obrót o 360° w osi pośredniej  (pionowa oś pomiędzy ramieniem poziomym , a ramieniem uchylnym)</w:t>
      </w:r>
    </w:p>
    <w:p w:rsidR="0052376B" w:rsidRDefault="0052376B">
      <w:pPr>
        <w:ind w:left="720"/>
      </w:pPr>
      <w:r>
        <w:rPr>
          <w:rFonts w:ascii="Arial" w:hAnsi="Arial" w:cs="Arial"/>
        </w:rPr>
        <w:t>- regulacja góra/dół ramienia uchylnego 90</w:t>
      </w:r>
      <w:bookmarkStart w:id="0" w:name="_Hlk502832519"/>
      <w:r>
        <w:rPr>
          <w:rFonts w:ascii="Arial" w:hAnsi="Arial" w:cs="Arial"/>
        </w:rPr>
        <w:t>°</w:t>
      </w:r>
      <w:bookmarkEnd w:id="0"/>
    </w:p>
    <w:p w:rsidR="0052376B" w:rsidRDefault="0052376B">
      <w:pPr>
        <w:ind w:left="720"/>
      </w:pPr>
      <w:r>
        <w:rPr>
          <w:rFonts w:ascii="Arial" w:hAnsi="Arial" w:cs="Arial"/>
        </w:rPr>
        <w:t xml:space="preserve">d) </w:t>
      </w:r>
      <w:r>
        <w:rPr>
          <w:rFonts w:ascii="Arial" w:hAnsi="Arial" w:cs="Arial"/>
          <w:b/>
        </w:rPr>
        <w:t>monitor</w:t>
      </w:r>
    </w:p>
    <w:p w:rsidR="0052376B" w:rsidRDefault="0052376B">
      <w:pPr>
        <w:ind w:left="720"/>
      </w:pPr>
      <w:r>
        <w:rPr>
          <w:rFonts w:ascii="Arial" w:hAnsi="Arial" w:cs="Arial"/>
        </w:rPr>
        <w:t>- obrót o 300° w osi głównej lampy (pionowa oś lampy),</w:t>
      </w:r>
    </w:p>
    <w:p w:rsidR="0052376B" w:rsidRDefault="0052376B">
      <w:pPr>
        <w:ind w:left="720"/>
      </w:pPr>
      <w:r>
        <w:rPr>
          <w:rFonts w:ascii="Arial" w:hAnsi="Arial" w:cs="Arial"/>
        </w:rPr>
        <w:t>- obrót o 300° w osi pośredniej  (pionowa oś pomiędzy ramieniem poziomym , a ramieniem uchylnym)</w:t>
      </w:r>
    </w:p>
    <w:p w:rsidR="0052376B" w:rsidRDefault="0052376B">
      <w:pPr>
        <w:ind w:left="720"/>
      </w:pPr>
      <w:r>
        <w:rPr>
          <w:rFonts w:ascii="Arial" w:hAnsi="Arial" w:cs="Arial"/>
        </w:rPr>
        <w:t>- obrót o 300° w osi czaszy  (pionowa oś pomiędzy ramieniem uchylnym, a przegubem</w:t>
      </w:r>
    </w:p>
    <w:p w:rsidR="0052376B" w:rsidRDefault="0052376B">
      <w:pPr>
        <w:ind w:left="720"/>
      </w:pPr>
      <w:r>
        <w:rPr>
          <w:rFonts w:ascii="Arial" w:hAnsi="Arial" w:cs="Arial"/>
        </w:rPr>
        <w:t>czaszy)</w:t>
      </w:r>
    </w:p>
    <w:p w:rsidR="0052376B" w:rsidRDefault="0052376B">
      <w:pPr>
        <w:ind w:left="720"/>
      </w:pPr>
      <w:r>
        <w:rPr>
          <w:rFonts w:ascii="Arial" w:hAnsi="Arial" w:cs="Arial"/>
        </w:rPr>
        <w:t>- regulacja góra/dół ramienia uchylnego 90°?</w:t>
      </w:r>
    </w:p>
    <w:p w:rsidR="0052376B" w:rsidRDefault="0052376B">
      <w:pPr>
        <w:ind w:left="720"/>
        <w:rPr>
          <w:rFonts w:ascii="Arial" w:hAnsi="Arial" w:cs="Arial"/>
        </w:rPr>
      </w:pPr>
    </w:p>
    <w:p w:rsidR="0052376B" w:rsidRDefault="0052376B">
      <w:pPr>
        <w:ind w:left="720"/>
      </w:pPr>
      <w:r>
        <w:rPr>
          <w:rFonts w:ascii="Arial" w:hAnsi="Arial" w:cs="Arial"/>
          <w:highlight w:val="yellow"/>
        </w:rPr>
        <w:t>Zgoda, zmiana SIWZ:</w:t>
      </w:r>
    </w:p>
    <w:p w:rsidR="0052376B" w:rsidRDefault="0052376B">
      <w:pPr>
        <w:ind w:left="720"/>
        <w:rPr>
          <w:rFonts w:ascii="Arial" w:hAnsi="Arial" w:cs="Arial"/>
        </w:rPr>
      </w:pPr>
    </w:p>
    <w:p w:rsidR="0052376B" w:rsidRDefault="0052376B">
      <w:pPr>
        <w:ind w:left="720"/>
        <w:rPr>
          <w:rFonts w:ascii="Arial" w:hAnsi="Arial" w:cs="Arial"/>
        </w:rPr>
      </w:pPr>
    </w:p>
    <w:tbl>
      <w:tblPr>
        <w:tblW w:w="0" w:type="auto"/>
        <w:tblInd w:w="5" w:type="dxa"/>
        <w:tblLayout w:type="fixed"/>
        <w:tblCellMar>
          <w:left w:w="0" w:type="dxa"/>
          <w:right w:w="70" w:type="dxa"/>
        </w:tblCellMar>
        <w:tblLook w:val="0000"/>
      </w:tblPr>
      <w:tblGrid>
        <w:gridCol w:w="398"/>
        <w:gridCol w:w="8672"/>
      </w:tblGrid>
      <w:tr w:rsidR="0052376B">
        <w:trPr>
          <w:cantSplit/>
          <w:trHeight w:val="466"/>
        </w:trPr>
        <w:tc>
          <w:tcPr>
            <w:tcW w:w="398" w:type="dxa"/>
            <w:tcBorders>
              <w:top w:val="single" w:sz="4" w:space="0" w:color="000001"/>
              <w:left w:val="single" w:sz="4" w:space="0" w:color="000001"/>
              <w:bottom w:val="single" w:sz="4" w:space="0" w:color="000001"/>
            </w:tcBorders>
            <w:shd w:val="clear" w:color="auto" w:fill="FFFFFF"/>
            <w:vAlign w:val="center"/>
          </w:tcPr>
          <w:p w:rsidR="0052376B" w:rsidRDefault="0052376B">
            <w:pPr>
              <w:pStyle w:val="Tekstpodstawowywcity"/>
              <w:spacing w:after="0" w:line="276" w:lineRule="auto"/>
              <w:ind w:left="1003"/>
              <w:jc w:val="center"/>
            </w:pPr>
            <w:r>
              <w:rPr>
                <w:rFonts w:ascii="Calibri" w:hAnsi="Calibri" w:cs="Calibri"/>
                <w:bCs/>
                <w:sz w:val="22"/>
                <w:szCs w:val="22"/>
              </w:rPr>
              <w:t>15</w:t>
            </w:r>
          </w:p>
        </w:tc>
        <w:tc>
          <w:tcPr>
            <w:tcW w:w="867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2376B" w:rsidRDefault="0052376B">
            <w:pPr>
              <w:snapToGrid w:val="0"/>
              <w:spacing w:line="276" w:lineRule="auto"/>
            </w:pPr>
            <w:r>
              <w:rPr>
                <w:rFonts w:ascii="Calibri" w:hAnsi="Calibri"/>
                <w:b/>
                <w:bCs/>
                <w:sz w:val="22"/>
                <w:szCs w:val="22"/>
              </w:rPr>
              <w:t xml:space="preserve">Zakres ruchu wysięgników kopuł </w:t>
            </w:r>
            <w:r>
              <w:rPr>
                <w:rFonts w:ascii="Calibri" w:hAnsi="Calibri"/>
                <w:b/>
                <w:bCs/>
                <w:sz w:val="22"/>
                <w:szCs w:val="22"/>
                <w:highlight w:val="yellow"/>
              </w:rPr>
              <w:t>satelitarnych</w:t>
            </w:r>
            <w:r>
              <w:rPr>
                <w:rFonts w:ascii="Calibri" w:hAnsi="Calibri"/>
                <w:b/>
                <w:bCs/>
                <w:sz w:val="22"/>
                <w:szCs w:val="22"/>
              </w:rPr>
              <w:t>:</w:t>
            </w:r>
          </w:p>
          <w:p w:rsidR="0052376B" w:rsidRDefault="0052376B">
            <w:pPr>
              <w:pStyle w:val="Tekstpodstawowy"/>
              <w:numPr>
                <w:ilvl w:val="0"/>
                <w:numId w:val="5"/>
              </w:numPr>
              <w:snapToGrid w:val="0"/>
              <w:spacing w:line="276" w:lineRule="auto"/>
              <w:ind w:left="0" w:firstLine="0"/>
            </w:pPr>
            <w:r>
              <w:rPr>
                <w:rFonts w:ascii="Calibri" w:hAnsi="Calibri" w:cs="Calibri"/>
                <w:sz w:val="22"/>
                <w:szCs w:val="22"/>
              </w:rPr>
              <w:t>obrót o min. 360</w:t>
            </w:r>
            <w:r>
              <w:rPr>
                <w:rFonts w:ascii="Calibri" w:hAnsi="Calibri" w:cs="Calibri"/>
                <w:sz w:val="22"/>
                <w:szCs w:val="22"/>
                <w:vertAlign w:val="superscript"/>
              </w:rPr>
              <w:t>0</w:t>
            </w:r>
            <w:r>
              <w:rPr>
                <w:rFonts w:ascii="Calibri" w:hAnsi="Calibri" w:cs="Calibri"/>
                <w:sz w:val="22"/>
                <w:szCs w:val="22"/>
              </w:rPr>
              <w:t xml:space="preserve"> wokół mocowania głównego (pionowa oś lampy)</w:t>
            </w:r>
          </w:p>
          <w:p w:rsidR="0052376B" w:rsidRDefault="0052376B">
            <w:pPr>
              <w:pStyle w:val="Tekstpodstawowy"/>
              <w:numPr>
                <w:ilvl w:val="0"/>
                <w:numId w:val="5"/>
              </w:numPr>
              <w:snapToGrid w:val="0"/>
              <w:spacing w:line="276" w:lineRule="auto"/>
              <w:ind w:left="0" w:firstLine="0"/>
            </w:pPr>
            <w:r>
              <w:rPr>
                <w:rFonts w:ascii="Calibri" w:hAnsi="Calibri" w:cs="Calibri"/>
                <w:sz w:val="22"/>
                <w:szCs w:val="22"/>
              </w:rPr>
              <w:t>obrót ramienia uchylnego wokół przegubu łączącego ramiona o min. 360° (wokół osi pośredniej – osi pionowej pomiedzy ramieniem poziomym a ramieniem uchylnym)</w:t>
            </w:r>
          </w:p>
          <w:p w:rsidR="0052376B" w:rsidRDefault="0052376B">
            <w:pPr>
              <w:pStyle w:val="Tekstpodstawowy"/>
              <w:numPr>
                <w:ilvl w:val="0"/>
                <w:numId w:val="5"/>
              </w:numPr>
              <w:snapToGrid w:val="0"/>
              <w:spacing w:line="276" w:lineRule="auto"/>
              <w:ind w:left="0" w:firstLine="0"/>
            </w:pPr>
            <w:r>
              <w:rPr>
                <w:rFonts w:ascii="Calibri" w:hAnsi="Calibri" w:cs="Calibri"/>
                <w:sz w:val="22"/>
                <w:szCs w:val="22"/>
              </w:rPr>
              <w:t>obrót o min. 360° na przegubie łączącym kopułę z ramieniem uchylnym</w:t>
            </w:r>
          </w:p>
          <w:p w:rsidR="0052376B" w:rsidRDefault="0052376B">
            <w:pPr>
              <w:pStyle w:val="Tekstpodstawowy"/>
              <w:numPr>
                <w:ilvl w:val="0"/>
                <w:numId w:val="5"/>
              </w:numPr>
              <w:snapToGrid w:val="0"/>
              <w:spacing w:line="276" w:lineRule="auto"/>
              <w:ind w:left="0" w:firstLine="0"/>
            </w:pPr>
            <w:r>
              <w:rPr>
                <w:rFonts w:ascii="Calibri" w:hAnsi="Calibri" w:cs="Calibri"/>
                <w:sz w:val="22"/>
                <w:szCs w:val="22"/>
              </w:rPr>
              <w:t xml:space="preserve">Regulacja góra/dół ramienia uchylnego min. </w:t>
            </w:r>
            <w:r>
              <w:rPr>
                <w:rFonts w:ascii="Calibri" w:hAnsi="Calibri" w:cs="Calibri"/>
                <w:strike/>
                <w:sz w:val="22"/>
                <w:szCs w:val="22"/>
                <w:highlight w:val="yellow"/>
              </w:rPr>
              <w:t>100</w:t>
            </w:r>
            <w:r>
              <w:rPr>
                <w:rFonts w:ascii="Calibri" w:hAnsi="Calibri" w:cs="Calibri"/>
                <w:sz w:val="22"/>
                <w:szCs w:val="22"/>
                <w:highlight w:val="yellow"/>
              </w:rPr>
              <w:t>° 90°</w:t>
            </w:r>
          </w:p>
          <w:p w:rsidR="0052376B" w:rsidRDefault="0052376B">
            <w:pPr>
              <w:pStyle w:val="Tekstpodstawowy"/>
              <w:snapToGrid w:val="0"/>
              <w:spacing w:line="276" w:lineRule="auto"/>
            </w:pPr>
          </w:p>
          <w:p w:rsidR="0052376B" w:rsidRDefault="0052376B">
            <w:pPr>
              <w:snapToGrid w:val="0"/>
              <w:spacing w:line="276" w:lineRule="auto"/>
            </w:pPr>
            <w:r>
              <w:rPr>
                <w:rFonts w:ascii="Calibri" w:hAnsi="Calibri"/>
                <w:b/>
                <w:bCs/>
                <w:sz w:val="22"/>
                <w:szCs w:val="22"/>
              </w:rPr>
              <w:t xml:space="preserve">Zakres ruchu wysięgników kopuł </w:t>
            </w:r>
            <w:r>
              <w:rPr>
                <w:rFonts w:ascii="Calibri" w:hAnsi="Calibri"/>
                <w:b/>
                <w:bCs/>
                <w:sz w:val="22"/>
                <w:szCs w:val="22"/>
                <w:highlight w:val="yellow"/>
              </w:rPr>
              <w:t>głównych i ramion na monitory</w:t>
            </w:r>
            <w:r>
              <w:rPr>
                <w:rFonts w:ascii="Calibri" w:hAnsi="Calibri"/>
                <w:b/>
                <w:bCs/>
                <w:sz w:val="22"/>
                <w:szCs w:val="22"/>
              </w:rPr>
              <w:t>:</w:t>
            </w:r>
          </w:p>
          <w:p w:rsidR="0052376B" w:rsidRDefault="0052376B">
            <w:pPr>
              <w:pStyle w:val="Tekstpodstawowy"/>
              <w:numPr>
                <w:ilvl w:val="0"/>
                <w:numId w:val="5"/>
              </w:numPr>
              <w:snapToGrid w:val="0"/>
              <w:spacing w:line="276" w:lineRule="auto"/>
              <w:ind w:left="0" w:firstLine="0"/>
            </w:pPr>
            <w:r>
              <w:rPr>
                <w:rFonts w:ascii="Calibri" w:hAnsi="Calibri" w:cs="Calibri"/>
                <w:sz w:val="22"/>
                <w:szCs w:val="22"/>
              </w:rPr>
              <w:t xml:space="preserve">obrót o min. </w:t>
            </w:r>
            <w:r>
              <w:rPr>
                <w:rFonts w:ascii="Calibri" w:hAnsi="Calibri" w:cs="Calibri"/>
                <w:sz w:val="22"/>
                <w:szCs w:val="22"/>
                <w:highlight w:val="yellow"/>
              </w:rPr>
              <w:t>300</w:t>
            </w:r>
            <w:r>
              <w:rPr>
                <w:rFonts w:ascii="Calibri" w:hAnsi="Calibri" w:cs="Calibri"/>
                <w:sz w:val="22"/>
                <w:szCs w:val="22"/>
                <w:vertAlign w:val="superscript"/>
              </w:rPr>
              <w:t>0</w:t>
            </w:r>
            <w:r>
              <w:rPr>
                <w:rFonts w:ascii="Calibri" w:hAnsi="Calibri" w:cs="Calibri"/>
                <w:sz w:val="22"/>
                <w:szCs w:val="22"/>
              </w:rPr>
              <w:t xml:space="preserve"> wokół mocowania głównego (pionowa oś lampy)</w:t>
            </w:r>
          </w:p>
          <w:p w:rsidR="0052376B" w:rsidRDefault="0052376B">
            <w:pPr>
              <w:pStyle w:val="Tekstpodstawowy"/>
              <w:numPr>
                <w:ilvl w:val="0"/>
                <w:numId w:val="5"/>
              </w:numPr>
              <w:snapToGrid w:val="0"/>
              <w:spacing w:line="276" w:lineRule="auto"/>
              <w:ind w:left="0" w:firstLine="0"/>
            </w:pPr>
            <w:r>
              <w:rPr>
                <w:rFonts w:ascii="Calibri" w:hAnsi="Calibri" w:cs="Calibri"/>
                <w:sz w:val="22"/>
                <w:szCs w:val="22"/>
              </w:rPr>
              <w:t xml:space="preserve">obrót ramienia uchylnego wokół przegubu łączącego ramiona o min. </w:t>
            </w:r>
            <w:r>
              <w:rPr>
                <w:rFonts w:ascii="Calibri" w:hAnsi="Calibri" w:cs="Calibri"/>
                <w:sz w:val="22"/>
                <w:szCs w:val="22"/>
                <w:highlight w:val="yellow"/>
              </w:rPr>
              <w:t>300</w:t>
            </w:r>
            <w:r>
              <w:rPr>
                <w:rFonts w:ascii="Calibri" w:hAnsi="Calibri" w:cs="Calibri"/>
                <w:sz w:val="22"/>
                <w:szCs w:val="22"/>
              </w:rPr>
              <w:t>° (wokół osi pośredniej – osi pionowej pomiedzy ramieniem poziomym a ramieniem uchylnym)</w:t>
            </w:r>
          </w:p>
          <w:p w:rsidR="0052376B" w:rsidRDefault="0052376B">
            <w:pPr>
              <w:pStyle w:val="Tekstpodstawowy"/>
              <w:numPr>
                <w:ilvl w:val="0"/>
                <w:numId w:val="5"/>
              </w:numPr>
              <w:snapToGrid w:val="0"/>
              <w:spacing w:line="276" w:lineRule="auto"/>
              <w:ind w:left="0" w:firstLine="0"/>
            </w:pPr>
            <w:r>
              <w:rPr>
                <w:rFonts w:ascii="Calibri" w:hAnsi="Calibri" w:cs="Calibri"/>
                <w:sz w:val="22"/>
                <w:szCs w:val="22"/>
              </w:rPr>
              <w:t xml:space="preserve">obrót o min. </w:t>
            </w:r>
            <w:r>
              <w:rPr>
                <w:rFonts w:ascii="Calibri" w:hAnsi="Calibri" w:cs="Calibri"/>
                <w:sz w:val="22"/>
                <w:szCs w:val="22"/>
                <w:highlight w:val="yellow"/>
              </w:rPr>
              <w:t>300</w:t>
            </w:r>
            <w:r>
              <w:rPr>
                <w:rFonts w:ascii="Calibri" w:hAnsi="Calibri" w:cs="Calibri"/>
                <w:sz w:val="22"/>
                <w:szCs w:val="22"/>
              </w:rPr>
              <w:t>° na przegubie łączącym kopułę z ramieniem uchylnym</w:t>
            </w:r>
          </w:p>
          <w:p w:rsidR="0052376B" w:rsidRDefault="0052376B">
            <w:pPr>
              <w:pStyle w:val="Tekstpodstawowy"/>
              <w:numPr>
                <w:ilvl w:val="0"/>
                <w:numId w:val="5"/>
              </w:numPr>
              <w:snapToGrid w:val="0"/>
              <w:spacing w:line="276" w:lineRule="auto"/>
              <w:ind w:left="0" w:firstLine="0"/>
            </w:pPr>
            <w:r>
              <w:rPr>
                <w:rFonts w:ascii="Calibri" w:hAnsi="Calibri" w:cs="Calibri"/>
                <w:sz w:val="22"/>
                <w:szCs w:val="22"/>
                <w:highlight w:val="yellow"/>
              </w:rPr>
              <w:t xml:space="preserve">Regulacja góra/dół ramienia uchylnego min. </w:t>
            </w:r>
            <w:r>
              <w:rPr>
                <w:rFonts w:ascii="Calibri" w:hAnsi="Calibri" w:cs="Calibri"/>
                <w:strike/>
                <w:sz w:val="22"/>
                <w:szCs w:val="22"/>
                <w:highlight w:val="yellow"/>
              </w:rPr>
              <w:t>100</w:t>
            </w:r>
            <w:r>
              <w:rPr>
                <w:rFonts w:ascii="Calibri" w:hAnsi="Calibri" w:cs="Calibri"/>
                <w:sz w:val="22"/>
                <w:szCs w:val="22"/>
                <w:highlight w:val="yellow"/>
              </w:rPr>
              <w:t>° 90°</w:t>
            </w:r>
          </w:p>
        </w:tc>
      </w:tr>
    </w:tbl>
    <w:p w:rsidR="0052376B" w:rsidRDefault="0052376B">
      <w:pPr>
        <w:rPr>
          <w:rFonts w:ascii="Arial" w:hAnsi="Arial" w:cs="Arial"/>
        </w:rPr>
      </w:pPr>
    </w:p>
    <w:p w:rsidR="0052376B" w:rsidRDefault="0052376B">
      <w:pPr>
        <w:numPr>
          <w:ilvl w:val="0"/>
          <w:numId w:val="2"/>
        </w:numPr>
      </w:pPr>
      <w:bookmarkStart w:id="1" w:name="_Hlk502913573"/>
      <w:r>
        <w:rPr>
          <w:rFonts w:ascii="Arial" w:hAnsi="Arial" w:cs="Arial"/>
        </w:rPr>
        <w:lastRenderedPageBreak/>
        <w:t>Czy Zamawiający dopuści lampę operacyjną, w której temperatura barwowa kopuły głównej jest regulowana w trzech stopniach 4000-4400-4800? Jest to niewielka różnica w stosunku do wymagań SIWZ.</w:t>
      </w:r>
      <w:bookmarkEnd w:id="1"/>
    </w:p>
    <w:p w:rsidR="0052376B" w:rsidRDefault="0052376B">
      <w:pPr>
        <w:ind w:left="720"/>
      </w:pPr>
      <w:r>
        <w:rPr>
          <w:rFonts w:ascii="Arial" w:hAnsi="Arial" w:cs="Arial"/>
          <w:highlight w:val="yellow"/>
        </w:rPr>
        <w:t>Odpowiedź: Zamawiający uzna za spełniony warunek SIWZ. Zmiana SIWZ:</w:t>
      </w:r>
    </w:p>
    <w:p w:rsidR="0052376B" w:rsidRDefault="0052376B">
      <w:pPr>
        <w:ind w:left="720"/>
        <w:rPr>
          <w:rFonts w:ascii="Arial" w:hAnsi="Arial" w:cs="Arial"/>
          <w:highlight w:val="yellow"/>
        </w:rPr>
      </w:pPr>
    </w:p>
    <w:tbl>
      <w:tblPr>
        <w:tblW w:w="0" w:type="auto"/>
        <w:tblInd w:w="5" w:type="dxa"/>
        <w:tblLayout w:type="fixed"/>
        <w:tblCellMar>
          <w:left w:w="0" w:type="dxa"/>
          <w:right w:w="70" w:type="dxa"/>
        </w:tblCellMar>
        <w:tblLook w:val="0000"/>
      </w:tblPr>
      <w:tblGrid>
        <w:gridCol w:w="398"/>
        <w:gridCol w:w="8672"/>
      </w:tblGrid>
      <w:tr w:rsidR="0052376B">
        <w:trPr>
          <w:cantSplit/>
          <w:trHeight w:val="510"/>
        </w:trPr>
        <w:tc>
          <w:tcPr>
            <w:tcW w:w="398" w:type="dxa"/>
            <w:tcBorders>
              <w:top w:val="single" w:sz="4" w:space="0" w:color="000001"/>
              <w:left w:val="single" w:sz="4" w:space="0" w:color="000001"/>
              <w:bottom w:val="single" w:sz="4" w:space="0" w:color="000001"/>
            </w:tcBorders>
            <w:shd w:val="clear" w:color="auto" w:fill="FFFFFF"/>
            <w:vAlign w:val="center"/>
          </w:tcPr>
          <w:p w:rsidR="0052376B" w:rsidRDefault="0052376B">
            <w:pPr>
              <w:pStyle w:val="Tekstpodstawowywcity"/>
              <w:spacing w:after="0" w:line="276" w:lineRule="auto"/>
              <w:ind w:left="777"/>
              <w:jc w:val="center"/>
            </w:pPr>
            <w:r>
              <w:rPr>
                <w:rFonts w:ascii="Calibri" w:hAnsi="Calibri" w:cs="Calibri"/>
                <w:bCs/>
                <w:sz w:val="22"/>
                <w:szCs w:val="22"/>
                <w:highlight w:val="yellow"/>
              </w:rPr>
              <w:t>23</w:t>
            </w:r>
          </w:p>
        </w:tc>
        <w:tc>
          <w:tcPr>
            <w:tcW w:w="867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2376B" w:rsidRDefault="0052376B">
            <w:pPr>
              <w:pStyle w:val="Tekstpodstawowy"/>
              <w:snapToGrid w:val="0"/>
              <w:spacing w:line="276" w:lineRule="auto"/>
              <w:ind w:left="720"/>
            </w:pPr>
            <w:r>
              <w:rPr>
                <w:rFonts w:ascii="Calibri" w:hAnsi="Calibri" w:cs="Calibri"/>
                <w:sz w:val="22"/>
                <w:szCs w:val="22"/>
                <w:highlight w:val="yellow"/>
              </w:rPr>
              <w:t xml:space="preserve">Temperatura barwowa regulowana w min. 3 krokach w zakresie </w:t>
            </w:r>
            <w:r>
              <w:rPr>
                <w:rFonts w:ascii="Calibri" w:hAnsi="Calibri" w:cs="Calibri"/>
                <w:b/>
                <w:bCs/>
                <w:strike/>
                <w:color w:val="FF0000"/>
                <w:spacing w:val="-9"/>
                <w:w w:val="105"/>
                <w:sz w:val="22"/>
                <w:szCs w:val="22"/>
                <w:highlight w:val="yellow"/>
              </w:rPr>
              <w:t>min. 4000K max. 5000 K</w:t>
            </w:r>
            <w:r>
              <w:rPr>
                <w:rFonts w:ascii="Calibri" w:hAnsi="Calibri" w:cs="Calibri"/>
                <w:b/>
                <w:bCs/>
                <w:color w:val="FF0000"/>
                <w:spacing w:val="-9"/>
                <w:w w:val="105"/>
                <w:sz w:val="22"/>
                <w:szCs w:val="22"/>
                <w:highlight w:val="yellow"/>
              </w:rPr>
              <w:t xml:space="preserve"> min. 4000K - 4700 K</w:t>
            </w:r>
            <w:r>
              <w:rPr>
                <w:rFonts w:ascii="Calibri" w:hAnsi="Calibri" w:cs="Calibri"/>
                <w:sz w:val="22"/>
                <w:szCs w:val="22"/>
                <w:highlight w:val="yellow"/>
              </w:rPr>
              <w:t>. Zakres regulacji temperatury barwowej, niezależnie od natężenia światła</w:t>
            </w:r>
          </w:p>
        </w:tc>
      </w:tr>
    </w:tbl>
    <w:p w:rsidR="0052376B" w:rsidRDefault="0052376B">
      <w:pPr>
        <w:ind w:left="720"/>
        <w:rPr>
          <w:rFonts w:ascii="Arial" w:hAnsi="Arial" w:cs="Arial"/>
          <w:highlight w:val="yellow"/>
        </w:rPr>
      </w:pPr>
    </w:p>
    <w:p w:rsidR="0052376B" w:rsidRDefault="0052376B">
      <w:pPr>
        <w:numPr>
          <w:ilvl w:val="0"/>
          <w:numId w:val="2"/>
        </w:numPr>
      </w:pPr>
      <w:r>
        <w:rPr>
          <w:rFonts w:ascii="Arial" w:hAnsi="Arial" w:cs="Arial"/>
        </w:rPr>
        <w:t>Czy Zamawiający dopuści kamerę z funkcją obrotu obrazu o 350°? Jest to niewielka różnica od wymagań SIWZ.</w:t>
      </w:r>
    </w:p>
    <w:p w:rsidR="0052376B" w:rsidRDefault="0052376B">
      <w:pPr>
        <w:ind w:left="720"/>
      </w:pPr>
      <w:r>
        <w:rPr>
          <w:rFonts w:ascii="Arial" w:hAnsi="Arial" w:cs="Arial"/>
          <w:highlight w:val="yellow"/>
        </w:rPr>
        <w:t>Zamawiający dopuszcza i zmienia zapis SIWZ na</w:t>
      </w:r>
    </w:p>
    <w:p w:rsidR="0052376B" w:rsidRDefault="0052376B">
      <w:pPr>
        <w:pStyle w:val="Tekstpodstawowy"/>
        <w:snapToGrid w:val="0"/>
        <w:spacing w:line="276" w:lineRule="auto"/>
        <w:ind w:left="720"/>
      </w:pPr>
      <w:r>
        <w:rPr>
          <w:rFonts w:ascii="Arial" w:hAnsi="Arial" w:cs="Arial"/>
          <w:color w:val="000000"/>
          <w:sz w:val="20"/>
          <w:highlight w:val="yellow"/>
        </w:rPr>
        <w:t xml:space="preserve">Funkcja obrotu obrazu o min. </w:t>
      </w:r>
      <w:r>
        <w:rPr>
          <w:rFonts w:ascii="Arial" w:hAnsi="Arial" w:cs="Arial"/>
          <w:strike/>
          <w:color w:val="000000"/>
          <w:sz w:val="20"/>
          <w:highlight w:val="yellow"/>
        </w:rPr>
        <w:t>360</w:t>
      </w:r>
      <w:r>
        <w:rPr>
          <w:rFonts w:ascii="Arial" w:hAnsi="Arial" w:cs="Arial"/>
          <w:strike/>
          <w:color w:val="000000"/>
          <w:spacing w:val="-2"/>
          <w:sz w:val="20"/>
          <w:highlight w:val="yellow"/>
          <w:vertAlign w:val="superscript"/>
        </w:rPr>
        <w:t>0</w:t>
      </w:r>
      <w:r>
        <w:rPr>
          <w:rFonts w:ascii="Arial" w:hAnsi="Arial" w:cs="Arial"/>
          <w:strike/>
          <w:color w:val="000000"/>
          <w:sz w:val="20"/>
          <w:highlight w:val="yellow"/>
        </w:rPr>
        <w:t xml:space="preserve"> </w:t>
      </w:r>
      <w:r>
        <w:rPr>
          <w:rFonts w:ascii="Arial" w:hAnsi="Arial" w:cs="Arial"/>
          <w:color w:val="000000"/>
          <w:sz w:val="20"/>
          <w:highlight w:val="yellow"/>
        </w:rPr>
        <w:t xml:space="preserve"> 350</w:t>
      </w:r>
      <w:r>
        <w:rPr>
          <w:rFonts w:ascii="Arial" w:hAnsi="Arial" w:cs="Arial"/>
          <w:color w:val="000000"/>
          <w:spacing w:val="-2"/>
          <w:sz w:val="20"/>
          <w:highlight w:val="yellow"/>
          <w:vertAlign w:val="superscript"/>
        </w:rPr>
        <w:t>0</w:t>
      </w:r>
      <w:r>
        <w:rPr>
          <w:rFonts w:ascii="Arial" w:hAnsi="Arial" w:cs="Arial"/>
          <w:color w:val="000000"/>
          <w:sz w:val="20"/>
          <w:highlight w:val="yellow"/>
        </w:rPr>
        <w:t xml:space="preserve"> </w:t>
      </w:r>
    </w:p>
    <w:p w:rsidR="0052376B" w:rsidRDefault="0052376B">
      <w:pPr>
        <w:pStyle w:val="Tekstpodstawowy"/>
        <w:snapToGrid w:val="0"/>
        <w:spacing w:line="276" w:lineRule="auto"/>
        <w:ind w:left="720"/>
        <w:rPr>
          <w:highlight w:val="yellow"/>
        </w:rPr>
      </w:pPr>
    </w:p>
    <w:p w:rsidR="0052376B" w:rsidRDefault="0052376B">
      <w:pPr>
        <w:rPr>
          <w:rFonts w:ascii="Arial" w:hAnsi="Arial" w:cs="Arial"/>
          <w:highlight w:val="yellow"/>
        </w:rPr>
      </w:pPr>
    </w:p>
    <w:p w:rsidR="0052376B" w:rsidRDefault="0052376B">
      <w:pPr>
        <w:numPr>
          <w:ilvl w:val="0"/>
          <w:numId w:val="2"/>
        </w:numPr>
        <w:autoSpaceDE w:val="0"/>
      </w:pPr>
      <w:r>
        <w:rPr>
          <w:rFonts w:ascii="Arial" w:hAnsi="Arial" w:cs="Arial"/>
          <w:bCs/>
        </w:rPr>
        <w:t>Jaka jest wysokość sali, gdzie ma być zamontowana lampa, czy jest tam sufit podwieszany, a jeżeli tak   to na jakiej wysokości? Jaka jest odległość między sufitem podwieszanym a stropem właściwym?</w:t>
      </w:r>
    </w:p>
    <w:p w:rsidR="0052376B" w:rsidRDefault="00E50FC7">
      <w:pPr>
        <w:autoSpaceDE w:val="0"/>
        <w:ind w:left="720"/>
      </w:pPr>
      <w:r w:rsidRPr="00E50FC7">
        <w:rPr>
          <w:rFonts w:ascii="Arial" w:hAnsi="Arial" w:cs="Arial"/>
          <w:bCs/>
          <w:highlight w:val="yellow"/>
        </w:rPr>
        <w:t xml:space="preserve">Wszelkie </w:t>
      </w:r>
      <w:r>
        <w:rPr>
          <w:rFonts w:ascii="Arial" w:hAnsi="Arial" w:cs="Arial"/>
          <w:bCs/>
          <w:highlight w:val="yellow"/>
        </w:rPr>
        <w:t>informacje</w:t>
      </w:r>
      <w:r w:rsidRPr="00E50FC7">
        <w:rPr>
          <w:rFonts w:ascii="Arial" w:hAnsi="Arial" w:cs="Arial"/>
          <w:bCs/>
          <w:highlight w:val="yellow"/>
        </w:rPr>
        <w:t xml:space="preserve"> konieczne do montażu wyposażenia medycznego zostały wskazane w dokumentacji projektowej.</w:t>
      </w:r>
    </w:p>
    <w:p w:rsidR="0052376B" w:rsidRDefault="0052376B">
      <w:pPr>
        <w:autoSpaceDE w:val="0"/>
        <w:rPr>
          <w:rFonts w:ascii="Arial" w:hAnsi="Arial" w:cs="Arial"/>
          <w:bCs/>
        </w:rPr>
      </w:pPr>
    </w:p>
    <w:p w:rsidR="0052376B" w:rsidRDefault="0052376B">
      <w:pPr>
        <w:numPr>
          <w:ilvl w:val="0"/>
          <w:numId w:val="2"/>
        </w:numPr>
        <w:autoSpaceDE w:val="0"/>
      </w:pPr>
      <w:r>
        <w:rPr>
          <w:rFonts w:ascii="Arial" w:hAnsi="Arial" w:cs="Arial"/>
          <w:bCs/>
        </w:rPr>
        <w:t>Czy w pomieszczeniu  przewidziane jest zasilanie awaryjne. Jeśli tak to jakie: agregat na  24 V, czy UPS na 230 V ?</w:t>
      </w:r>
    </w:p>
    <w:p w:rsidR="00E50FC7" w:rsidRDefault="00E50FC7" w:rsidP="00E50FC7">
      <w:pPr>
        <w:autoSpaceDE w:val="0"/>
        <w:ind w:left="720"/>
      </w:pPr>
      <w:r w:rsidRPr="00E50FC7">
        <w:rPr>
          <w:rFonts w:ascii="Arial" w:hAnsi="Arial" w:cs="Arial"/>
          <w:bCs/>
          <w:highlight w:val="yellow"/>
        </w:rPr>
        <w:t xml:space="preserve">Wszelkie </w:t>
      </w:r>
      <w:r>
        <w:rPr>
          <w:rFonts w:ascii="Arial" w:hAnsi="Arial" w:cs="Arial"/>
          <w:bCs/>
          <w:highlight w:val="yellow"/>
        </w:rPr>
        <w:t>informacje</w:t>
      </w:r>
      <w:r w:rsidRPr="00E50FC7">
        <w:rPr>
          <w:rFonts w:ascii="Arial" w:hAnsi="Arial" w:cs="Arial"/>
          <w:bCs/>
          <w:highlight w:val="yellow"/>
        </w:rPr>
        <w:t xml:space="preserve"> konieczne do montażu wyposażenia medycznego zostały wskazane w dokumentacji projektowej.</w:t>
      </w:r>
    </w:p>
    <w:p w:rsidR="0052376B" w:rsidRDefault="0052376B">
      <w:pPr>
        <w:autoSpaceDE w:val="0"/>
        <w:ind w:left="165"/>
        <w:rPr>
          <w:rFonts w:ascii="Arial" w:hAnsi="Arial" w:cs="Arial"/>
          <w:bCs/>
        </w:rPr>
      </w:pPr>
    </w:p>
    <w:p w:rsidR="0052376B" w:rsidRDefault="0052376B">
      <w:pPr>
        <w:numPr>
          <w:ilvl w:val="0"/>
          <w:numId w:val="2"/>
        </w:numPr>
        <w:autoSpaceDE w:val="0"/>
      </w:pPr>
      <w:r>
        <w:rPr>
          <w:rFonts w:ascii="Arial" w:hAnsi="Arial" w:cs="Arial"/>
          <w:bCs/>
        </w:rPr>
        <w:t>Jakiego rodzaju jest strop w miejscu montażu lampy?</w:t>
      </w:r>
    </w:p>
    <w:p w:rsidR="00E50FC7" w:rsidRDefault="00E50FC7" w:rsidP="00E50FC7">
      <w:pPr>
        <w:autoSpaceDE w:val="0"/>
        <w:ind w:left="720"/>
      </w:pPr>
      <w:r w:rsidRPr="00E50FC7">
        <w:rPr>
          <w:rFonts w:ascii="Arial" w:hAnsi="Arial" w:cs="Arial"/>
          <w:bCs/>
          <w:highlight w:val="yellow"/>
        </w:rPr>
        <w:t xml:space="preserve">Wszelkie </w:t>
      </w:r>
      <w:r>
        <w:rPr>
          <w:rFonts w:ascii="Arial" w:hAnsi="Arial" w:cs="Arial"/>
          <w:bCs/>
          <w:highlight w:val="yellow"/>
        </w:rPr>
        <w:t>informacje</w:t>
      </w:r>
      <w:r w:rsidRPr="00E50FC7">
        <w:rPr>
          <w:rFonts w:ascii="Arial" w:hAnsi="Arial" w:cs="Arial"/>
          <w:bCs/>
          <w:highlight w:val="yellow"/>
        </w:rPr>
        <w:t xml:space="preserve"> konieczne do montażu wyposażenia medycznego zostały wskazane w dokumentacji projektowej.</w:t>
      </w:r>
    </w:p>
    <w:p w:rsidR="0052376B" w:rsidRDefault="0052376B">
      <w:pPr>
        <w:pStyle w:val="Akapitzlist"/>
        <w:ind w:left="0"/>
        <w:rPr>
          <w:rFonts w:ascii="Arial" w:hAnsi="Arial" w:cs="Arial"/>
          <w:bCs/>
        </w:rPr>
      </w:pPr>
    </w:p>
    <w:p w:rsidR="0052376B" w:rsidRDefault="0052376B">
      <w:pPr>
        <w:numPr>
          <w:ilvl w:val="0"/>
          <w:numId w:val="2"/>
        </w:numPr>
        <w:autoSpaceDE w:val="0"/>
      </w:pPr>
      <w:r>
        <w:rPr>
          <w:rFonts w:ascii="Arial" w:hAnsi="Arial" w:cs="Arial"/>
          <w:bCs/>
        </w:rPr>
        <w:t>Czy w  pomieszczeniu istnieje dojście z piętra wyżej, w celu posadowienia płyty stropowej i śrub- stropowych elementów montażowych.</w:t>
      </w:r>
    </w:p>
    <w:p w:rsidR="00E50FC7" w:rsidRDefault="00E50FC7" w:rsidP="00E50FC7">
      <w:pPr>
        <w:autoSpaceDE w:val="0"/>
        <w:ind w:left="720"/>
      </w:pPr>
      <w:r w:rsidRPr="00E50FC7">
        <w:rPr>
          <w:rFonts w:ascii="Arial" w:hAnsi="Arial" w:cs="Arial"/>
          <w:bCs/>
          <w:highlight w:val="yellow"/>
        </w:rPr>
        <w:t xml:space="preserve">Wszelkie </w:t>
      </w:r>
      <w:r>
        <w:rPr>
          <w:rFonts w:ascii="Arial" w:hAnsi="Arial" w:cs="Arial"/>
          <w:bCs/>
          <w:highlight w:val="yellow"/>
        </w:rPr>
        <w:t>informacje</w:t>
      </w:r>
      <w:r w:rsidRPr="00E50FC7">
        <w:rPr>
          <w:rFonts w:ascii="Arial" w:hAnsi="Arial" w:cs="Arial"/>
          <w:bCs/>
          <w:highlight w:val="yellow"/>
        </w:rPr>
        <w:t xml:space="preserve"> konieczne do montażu wyposażenia medycznego zostały wskazane w dokumentacji projektowej.</w:t>
      </w:r>
    </w:p>
    <w:p w:rsidR="0052376B" w:rsidRDefault="0052376B">
      <w:pPr>
        <w:pStyle w:val="Akapitzlist"/>
        <w:rPr>
          <w:rFonts w:ascii="Arial" w:hAnsi="Arial" w:cs="Arial"/>
          <w:bCs/>
        </w:rPr>
      </w:pPr>
    </w:p>
    <w:p w:rsidR="0052376B" w:rsidRDefault="0052376B">
      <w:pPr>
        <w:numPr>
          <w:ilvl w:val="0"/>
          <w:numId w:val="2"/>
        </w:numPr>
        <w:autoSpaceDE w:val="0"/>
      </w:pPr>
      <w:r>
        <w:rPr>
          <w:rFonts w:ascii="Arial" w:hAnsi="Arial" w:cs="Arial"/>
          <w:bCs/>
        </w:rPr>
        <w:t xml:space="preserve">Czy w sali gdzie ma być zamontowana lampa są przewody zasilające, a jeżeli są,  to jakie i gdzie są    wyprowadzone? </w:t>
      </w:r>
    </w:p>
    <w:p w:rsidR="00E50FC7" w:rsidRDefault="00E50FC7" w:rsidP="00E50FC7">
      <w:pPr>
        <w:autoSpaceDE w:val="0"/>
        <w:ind w:left="720"/>
      </w:pPr>
      <w:r w:rsidRPr="00E50FC7">
        <w:rPr>
          <w:rFonts w:ascii="Arial" w:hAnsi="Arial" w:cs="Arial"/>
          <w:bCs/>
          <w:highlight w:val="yellow"/>
        </w:rPr>
        <w:t xml:space="preserve">Wszelkie </w:t>
      </w:r>
      <w:r>
        <w:rPr>
          <w:rFonts w:ascii="Arial" w:hAnsi="Arial" w:cs="Arial"/>
          <w:bCs/>
          <w:highlight w:val="yellow"/>
        </w:rPr>
        <w:t>informacje</w:t>
      </w:r>
      <w:r w:rsidRPr="00E50FC7">
        <w:rPr>
          <w:rFonts w:ascii="Arial" w:hAnsi="Arial" w:cs="Arial"/>
          <w:bCs/>
          <w:highlight w:val="yellow"/>
        </w:rPr>
        <w:t xml:space="preserve"> konieczne do montażu wyposażenia medycznego zostały wskazane w dokumentacji projektowej.</w:t>
      </w:r>
    </w:p>
    <w:p w:rsidR="0052376B" w:rsidRDefault="0052376B">
      <w:pPr>
        <w:pStyle w:val="Akapitzlist"/>
        <w:ind w:left="0"/>
        <w:rPr>
          <w:rFonts w:ascii="Arial" w:hAnsi="Arial" w:cs="Arial"/>
          <w:bCs/>
        </w:rPr>
      </w:pPr>
    </w:p>
    <w:p w:rsidR="0052376B" w:rsidRDefault="0052376B">
      <w:pPr>
        <w:numPr>
          <w:ilvl w:val="0"/>
          <w:numId w:val="2"/>
        </w:numPr>
        <w:autoSpaceDE w:val="0"/>
      </w:pPr>
      <w:r>
        <w:rPr>
          <w:rFonts w:ascii="Arial" w:hAnsi="Arial" w:cs="Arial"/>
          <w:bCs/>
        </w:rPr>
        <w:t>Jeżeli w sali gdzie ma być zamontowana lampa nie ma kompletnej instalacji elektrycznej , czy Zamawiający zapewni we własnym zakresie poprowadzenie przewodów zasilających do każdej kopuły oddzielnie? Jeżeli nie, to czy będzie można ciągnąć instalacje w tzw. „korytkach”?</w:t>
      </w:r>
    </w:p>
    <w:p w:rsidR="0052376B" w:rsidRDefault="00E50FC7">
      <w:pPr>
        <w:autoSpaceDE w:val="0"/>
        <w:ind w:left="720"/>
      </w:pPr>
      <w:r w:rsidRPr="00E50FC7">
        <w:rPr>
          <w:rFonts w:ascii="Arial" w:hAnsi="Arial" w:cs="Arial"/>
          <w:bCs/>
          <w:highlight w:val="yellow"/>
        </w:rPr>
        <w:t xml:space="preserve">W zakresie Wykonawcy jest </w:t>
      </w:r>
      <w:r>
        <w:rPr>
          <w:rFonts w:ascii="Arial" w:hAnsi="Arial" w:cs="Arial"/>
          <w:bCs/>
          <w:highlight w:val="yellow"/>
        </w:rPr>
        <w:t>budowa</w:t>
      </w:r>
      <w:r w:rsidRPr="00E50FC7">
        <w:rPr>
          <w:rFonts w:ascii="Arial" w:hAnsi="Arial" w:cs="Arial"/>
          <w:bCs/>
          <w:highlight w:val="yellow"/>
        </w:rPr>
        <w:t xml:space="preserve"> budynku ze wszystkimi koniecznymi instalacjami.</w:t>
      </w:r>
    </w:p>
    <w:p w:rsidR="0052376B" w:rsidRDefault="0052376B">
      <w:pPr>
        <w:autoSpaceDE w:val="0"/>
        <w:rPr>
          <w:rFonts w:ascii="Arial" w:hAnsi="Arial" w:cs="Arial"/>
          <w:bCs/>
        </w:rPr>
      </w:pPr>
    </w:p>
    <w:p w:rsidR="0052376B" w:rsidRDefault="0052376B">
      <w:pPr>
        <w:numPr>
          <w:ilvl w:val="0"/>
          <w:numId w:val="2"/>
        </w:numPr>
        <w:autoSpaceDE w:val="0"/>
      </w:pPr>
      <w:r>
        <w:rPr>
          <w:rFonts w:ascii="Arial" w:hAnsi="Arial" w:cs="Arial"/>
          <w:bCs/>
        </w:rPr>
        <w:t>Czy w sali gdzie ma być zamontowana lampa, wisi obecnie lampa operacyjna? Jeżeli tak , to jakiego producenta</w:t>
      </w:r>
    </w:p>
    <w:p w:rsidR="0052376B" w:rsidRDefault="0052376B">
      <w:pPr>
        <w:autoSpaceDE w:val="0"/>
        <w:ind w:left="720"/>
      </w:pPr>
      <w:r>
        <w:rPr>
          <w:rFonts w:ascii="Arial" w:hAnsi="Arial" w:cs="Arial"/>
          <w:bCs/>
          <w:highlight w:val="yellow"/>
        </w:rPr>
        <w:t xml:space="preserve">Zamawiający przystępuje do inwestycji polegającej na budowie nowego budynku, do którego mają być dostarczone i zainstalowane nowe lampy operacyjne. </w:t>
      </w:r>
    </w:p>
    <w:p w:rsidR="0052376B" w:rsidRDefault="0052376B">
      <w:pPr>
        <w:jc w:val="both"/>
        <w:rPr>
          <w:rFonts w:ascii="Arial" w:hAnsi="Arial" w:cs="Arial"/>
          <w:bCs/>
        </w:rPr>
      </w:pPr>
    </w:p>
    <w:p w:rsidR="0052376B" w:rsidRDefault="0052376B">
      <w:pPr>
        <w:rPr>
          <w:rFonts w:ascii="Arial" w:hAnsi="Arial" w:cs="Arial"/>
          <w:bCs/>
        </w:rPr>
      </w:pPr>
    </w:p>
    <w:p w:rsidR="0052376B" w:rsidRDefault="0052376B">
      <w:pPr>
        <w:rPr>
          <w:rFonts w:ascii="Arial" w:hAnsi="Arial" w:cs="Arial"/>
          <w:b/>
        </w:rPr>
      </w:pPr>
    </w:p>
    <w:p w:rsidR="0052376B" w:rsidRDefault="0052376B">
      <w:r>
        <w:rPr>
          <w:rFonts w:ascii="Arial" w:hAnsi="Arial" w:cs="Arial"/>
          <w:b/>
        </w:rPr>
        <w:t>Warunki rękojmi i gwarancji dla lamp operacyjnych</w:t>
      </w:r>
    </w:p>
    <w:p w:rsidR="0052376B" w:rsidRDefault="0052376B">
      <w:pPr>
        <w:rPr>
          <w:rFonts w:ascii="Arial" w:hAnsi="Arial" w:cs="Arial"/>
          <w:b/>
        </w:rPr>
      </w:pPr>
    </w:p>
    <w:p w:rsidR="0052376B" w:rsidRDefault="0052376B">
      <w:pPr>
        <w:numPr>
          <w:ilvl w:val="0"/>
          <w:numId w:val="3"/>
        </w:numPr>
      </w:pPr>
      <w:r>
        <w:rPr>
          <w:rFonts w:ascii="Arial" w:hAnsi="Arial" w:cs="Arial"/>
        </w:rPr>
        <w:t>Czy Zamawiający dopuści zapis: „</w:t>
      </w:r>
      <w:r>
        <w:rPr>
          <w:rFonts w:ascii="Arial" w:hAnsi="Arial" w:cs="Arial"/>
          <w:color w:val="000000"/>
        </w:rPr>
        <w:t xml:space="preserve">Jeżeli podczas odbioru okaże się, że wadliwe są części składowe lub cały przedmiot umowy, to odpowiednio, wadliwe części składowe przedmiotu zamówienia lub cały przedmiot zamówienia podlega wymianie na wolny od wad w terminie 7 </w:t>
      </w:r>
      <w:r>
        <w:rPr>
          <w:rFonts w:ascii="Arial" w:hAnsi="Arial" w:cs="Arial"/>
          <w:color w:val="000000"/>
        </w:rPr>
        <w:lastRenderedPageBreak/>
        <w:t>dni roboczych (dni od poniedziałku do piątku z wyłączeniem dni ustawowo wolnych od pracy) od daty uznania reklamacji za zasadną przez Wykonawcę. Wykonawcy przysługuje 3 dni robocze od zgłoszenia reklamacji na jej rozpatrzenie.”?</w:t>
      </w:r>
    </w:p>
    <w:p w:rsidR="0052376B" w:rsidRDefault="0052376B">
      <w:pPr>
        <w:ind w:left="720"/>
      </w:pPr>
      <w:r>
        <w:rPr>
          <w:rFonts w:ascii="Arial" w:hAnsi="Arial" w:cs="Arial"/>
          <w:color w:val="000000"/>
          <w:highlight w:val="yellow"/>
        </w:rPr>
        <w:t>Zapisy SIWZ pozostają bez zmian</w:t>
      </w:r>
    </w:p>
    <w:p w:rsidR="0052376B" w:rsidRDefault="0052376B">
      <w:pPr>
        <w:rPr>
          <w:rFonts w:ascii="Arial" w:hAnsi="Arial" w:cs="Arial"/>
          <w:color w:val="000000"/>
        </w:rPr>
      </w:pPr>
    </w:p>
    <w:p w:rsidR="0052376B" w:rsidRDefault="0052376B">
      <w:pPr>
        <w:numPr>
          <w:ilvl w:val="0"/>
          <w:numId w:val="3"/>
        </w:numPr>
      </w:pPr>
      <w:r>
        <w:rPr>
          <w:rFonts w:ascii="Arial" w:hAnsi="Arial" w:cs="Arial"/>
        </w:rPr>
        <w:t>Czy Zamawiający dopuści zapis:</w:t>
      </w:r>
      <w:r>
        <w:rPr>
          <w:rFonts w:ascii="Arial" w:hAnsi="Arial" w:cs="Arial"/>
          <w:color w:val="000000"/>
        </w:rPr>
        <w:t xml:space="preserve"> „Wykonawca w okresie gwarancji, w przypadku trzykrotnej uzasadnionej reklamacji tej samej części urządzenia wymieni tę część na nową w terminie 7 dni roboczych od daty zgłoszenia trzeciej reklamacji, a w przypadku 5 uzasadnionych reklamacji tej samej części urządzenia wymieni urządzenie na nowe w terminie 7 dni roboczych od daty zgłoszenia piątej reklamacji. Reklamacje będą zgłaszane </w:t>
      </w:r>
      <w:r>
        <w:rPr>
          <w:rFonts w:ascii="Arial" w:hAnsi="Arial" w:cs="Arial"/>
        </w:rPr>
        <w:t>pisemnie na adres wskazany przez Zamawiającego.”?</w:t>
      </w:r>
    </w:p>
    <w:p w:rsidR="0052376B" w:rsidRDefault="0052376B">
      <w:pPr>
        <w:ind w:left="720"/>
      </w:pPr>
      <w:r>
        <w:rPr>
          <w:rFonts w:ascii="Arial" w:hAnsi="Arial" w:cs="Arial"/>
          <w:color w:val="000000"/>
          <w:highlight w:val="yellow"/>
        </w:rPr>
        <w:t>Zapisy SIWZ pozostają bez zmian</w:t>
      </w:r>
    </w:p>
    <w:p w:rsidR="0052376B" w:rsidRDefault="0052376B">
      <w:pPr>
        <w:rPr>
          <w:rFonts w:ascii="Arial" w:hAnsi="Arial" w:cs="Arial"/>
        </w:rPr>
      </w:pPr>
    </w:p>
    <w:p w:rsidR="0052376B" w:rsidRDefault="0052376B">
      <w:pPr>
        <w:rPr>
          <w:rFonts w:ascii="Arial" w:hAnsi="Arial" w:cs="Arial"/>
        </w:rPr>
      </w:pPr>
    </w:p>
    <w:p w:rsidR="0052376B" w:rsidRDefault="0052376B">
      <w:pPr>
        <w:numPr>
          <w:ilvl w:val="0"/>
          <w:numId w:val="3"/>
        </w:numPr>
      </w:pPr>
      <w:r>
        <w:rPr>
          <w:rFonts w:ascii="Arial" w:hAnsi="Arial" w:cs="Arial"/>
        </w:rPr>
        <w:t>Czy Zamawiający dopuści zapis: „Wykonawca zobowiązany jest przystąpić do naprawy wady/usterki sprzętu zgłoszonej w okresie gwarancji w terminie do 48 godzin w dni robocze od złożenia zgłoszenia pisemnie na adres wskazany w umowie lub faksem na numer wskazany w ust. 7 lub e - mailem na adres wskazany w ust. 7.”?</w:t>
      </w:r>
    </w:p>
    <w:p w:rsidR="0052376B" w:rsidRDefault="0052376B">
      <w:pPr>
        <w:ind w:left="720"/>
      </w:pPr>
      <w:r>
        <w:rPr>
          <w:rFonts w:ascii="Arial" w:hAnsi="Arial" w:cs="Arial"/>
          <w:color w:val="000000"/>
          <w:highlight w:val="yellow"/>
        </w:rPr>
        <w:t>Zapisy SIWZ pozostają bez zmian</w:t>
      </w:r>
    </w:p>
    <w:p w:rsidR="0052376B" w:rsidRDefault="0052376B">
      <w:pPr>
        <w:ind w:left="720"/>
        <w:rPr>
          <w:rFonts w:ascii="Arial" w:hAnsi="Arial" w:cs="Arial"/>
        </w:rPr>
      </w:pPr>
    </w:p>
    <w:p w:rsidR="0052376B" w:rsidRDefault="0052376B">
      <w:pPr>
        <w:rPr>
          <w:rFonts w:ascii="Arial" w:hAnsi="Arial" w:cs="Arial"/>
        </w:rPr>
      </w:pPr>
    </w:p>
    <w:p w:rsidR="0052376B" w:rsidRDefault="0052376B">
      <w:pPr>
        <w:numPr>
          <w:ilvl w:val="0"/>
          <w:numId w:val="3"/>
        </w:numPr>
        <w:spacing w:line="360" w:lineRule="auto"/>
        <w:jc w:val="both"/>
      </w:pPr>
      <w:r>
        <w:rPr>
          <w:rFonts w:ascii="Arial" w:hAnsi="Arial" w:cs="Arial"/>
        </w:rPr>
        <w:t>Czy Zamawiający dopuści zapis: . Zgłoszona w trybie określonym w ust. 10 wada/usterka winna być usunięta w terminie do 7 dni roboczych od momentu zgłoszenia</w:t>
      </w:r>
      <w:r>
        <w:rPr>
          <w:rFonts w:ascii="Arial" w:hAnsi="Arial" w:cs="Arial"/>
          <w:color w:val="0000FF"/>
        </w:rPr>
        <w:t xml:space="preserve"> </w:t>
      </w:r>
      <w:r>
        <w:rPr>
          <w:rFonts w:ascii="Arial" w:hAnsi="Arial" w:cs="Arial"/>
          <w:color w:val="000000"/>
        </w:rPr>
        <w:t>awarii</w:t>
      </w:r>
      <w:r>
        <w:rPr>
          <w:rFonts w:ascii="Arial" w:hAnsi="Arial" w:cs="Arial"/>
          <w:color w:val="0000FF"/>
        </w:rPr>
        <w:t>,</w:t>
      </w:r>
      <w:r>
        <w:rPr>
          <w:rFonts w:ascii="Arial" w:hAnsi="Arial" w:cs="Arial"/>
        </w:rPr>
        <w:t xml:space="preserve"> z zastrzeżeniem ust. 12.</w:t>
      </w:r>
    </w:p>
    <w:p w:rsidR="0052376B" w:rsidRDefault="0052376B">
      <w:pPr>
        <w:spacing w:line="360" w:lineRule="auto"/>
        <w:ind w:left="720"/>
        <w:jc w:val="both"/>
      </w:pPr>
      <w:r>
        <w:rPr>
          <w:rFonts w:ascii="Arial" w:hAnsi="Arial" w:cs="Arial"/>
          <w:color w:val="000000"/>
          <w:highlight w:val="yellow"/>
        </w:rPr>
        <w:t>Zapisy SIWZ pozostają bez zmian</w:t>
      </w:r>
    </w:p>
    <w:p w:rsidR="0052376B" w:rsidRDefault="0052376B"/>
    <w:sectPr w:rsidR="0052376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2A" w:rsidRDefault="00610C2A">
      <w:r>
        <w:separator/>
      </w:r>
    </w:p>
  </w:endnote>
  <w:endnote w:type="continuationSeparator" w:id="0">
    <w:p w:rsidR="00610C2A" w:rsidRDefault="00610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rlito">
    <w:altName w:val="Calibri"/>
    <w:charset w:val="EE"/>
    <w:family w:val="swiss"/>
    <w:pitch w:val="variable"/>
    <w:sig w:usb0="00000001" w:usb1="5000E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2A" w:rsidRDefault="00610C2A">
      <w:r>
        <w:separator/>
      </w:r>
    </w:p>
  </w:footnote>
  <w:footnote w:type="continuationSeparator" w:id="0">
    <w:p w:rsidR="00610C2A" w:rsidRDefault="00610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bCs/>
        <w:highlight w:val="yellow"/>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ghlight w:val="yellow"/>
      </w:rPr>
    </w:lvl>
  </w:abstractNum>
  <w:abstractNum w:abstractNumId="3">
    <w:nsid w:val="00000004"/>
    <w:multiLevelType w:val="multilevel"/>
    <w:tmpl w:val="00000004"/>
    <w:name w:val="WWNum4"/>
    <w:lvl w:ilvl="0">
      <w:start w:val="1"/>
      <w:numFmt w:val="decimal"/>
      <w:lvlText w:val="%1."/>
      <w:lvlJc w:val="left"/>
      <w:pPr>
        <w:tabs>
          <w:tab w:val="num" w:pos="1003"/>
        </w:tabs>
        <w:ind w:left="100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
    <w:nsid w:val="00000005"/>
    <w:multiLevelType w:val="multilevel"/>
    <w:tmpl w:val="00000005"/>
    <w:name w:val="WWNum3"/>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rsids>
    <w:rsidRoot w:val="00E50FC7"/>
    <w:rsid w:val="000D0F95"/>
    <w:rsid w:val="0052376B"/>
    <w:rsid w:val="00610C2A"/>
    <w:rsid w:val="00E50F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b/>
      <w:bCs/>
      <w:sz w:val="28"/>
      <w:szCs w:val="28"/>
      <w:u w:val="single"/>
    </w:rPr>
  </w:style>
  <w:style w:type="paragraph" w:styleId="Nagwek2">
    <w:name w:val="heading 2"/>
    <w:basedOn w:val="Nagwek1"/>
    <w:next w:val="Normalny"/>
    <w:qFormat/>
    <w:pPr>
      <w:numPr>
        <w:ilvl w:val="1"/>
      </w:numPr>
      <w:outlineLvl w:val="1"/>
    </w:pPr>
    <w:rPr>
      <w:u w:val="none"/>
    </w:rPr>
  </w:style>
  <w:style w:type="paragraph" w:styleId="Nagwek3">
    <w:name w:val="heading 3"/>
    <w:basedOn w:val="Nagwek2"/>
    <w:next w:val="Normalny"/>
    <w:qFormat/>
    <w:pPr>
      <w:numPr>
        <w:ilvl w:val="2"/>
      </w:numPr>
      <w:tabs>
        <w:tab w:val="left" w:pos="360"/>
        <w:tab w:val="left" w:pos="1980"/>
      </w:tabs>
      <w:ind w:left="1980" w:hanging="360"/>
      <w:outlineLvl w:val="2"/>
    </w:pPr>
  </w:style>
  <w:style w:type="paragraph" w:styleId="Nagwek8">
    <w:name w:val="heading 8"/>
    <w:basedOn w:val="Normalny"/>
    <w:next w:val="Normalny"/>
    <w:qFormat/>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Cs/>
      <w:highlight w:val="yellow"/>
    </w:rPr>
  </w:style>
  <w:style w:type="character" w:customStyle="1" w:styleId="WW8Num3z0">
    <w:name w:val="WW8Num3z0"/>
    <w:rPr>
      <w:rFonts w:ascii="Arial" w:hAnsi="Arial" w:cs="Arial"/>
      <w:highlight w:val="yellow"/>
    </w:rPr>
  </w:style>
  <w:style w:type="character" w:customStyle="1" w:styleId="WW8Num1z1">
    <w:name w:val="WW8Num1z1"/>
  </w:style>
  <w:style w:type="character" w:customStyle="1" w:styleId="WW8Num1z2">
    <w:name w:val="WW8Num1z2"/>
  </w:style>
  <w:style w:type="character" w:customStyle="1" w:styleId="WW8Num3z1">
    <w:name w:val="WW8Num3z1"/>
    <w:rPr>
      <w:rFonts w:cs="Times New Roman"/>
    </w:rPr>
  </w:style>
  <w:style w:type="character" w:customStyle="1" w:styleId="WW8Num4z0">
    <w:name w:val="WW8Num4z0"/>
    <w:rPr>
      <w:rFonts w:cs="Times New Roman"/>
      <w:b w:val="0"/>
    </w:rPr>
  </w:style>
  <w:style w:type="character" w:customStyle="1" w:styleId="WW8Num4z1">
    <w:name w:val="WW8Num4z1"/>
    <w:rPr>
      <w:rFonts w:cs="Times New Roman"/>
    </w:rPr>
  </w:style>
  <w:style w:type="character" w:customStyle="1" w:styleId="WW8Num5z0">
    <w:name w:val="WW8Num5z0"/>
    <w:rPr>
      <w:rFonts w:ascii="Symbol" w:hAnsi="Symbol" w:cs="OpenSymbol" w:hint="default"/>
      <w:sz w:val="20"/>
    </w:rPr>
  </w:style>
  <w:style w:type="character" w:customStyle="1" w:styleId="WW8Num5z1">
    <w:name w:val="WW8Num5z1"/>
    <w:rPr>
      <w:rFonts w:ascii="OpenSymbol" w:hAnsi="OpenSymbol" w:cs="OpenSymbol" w:hint="default"/>
    </w:rPr>
  </w:style>
  <w:style w:type="character" w:customStyle="1" w:styleId="WW8Num5z3">
    <w:name w:val="WW8Num5z3"/>
    <w:rPr>
      <w:rFonts w:ascii="Symbol" w:hAnsi="Symbol" w:cs="OpenSymbol" w:hint="default"/>
    </w:rPr>
  </w:style>
  <w:style w:type="character" w:customStyle="1" w:styleId="WW8Num6z0">
    <w:name w:val="WW8Num6z0"/>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rPr>
  </w:style>
  <w:style w:type="character" w:customStyle="1" w:styleId="WW8Num8z0">
    <w:name w:val="WW8Num8z0"/>
    <w:rPr>
      <w:rFonts w:hint="default"/>
    </w:rPr>
  </w:style>
  <w:style w:type="character" w:customStyle="1" w:styleId="WW8Num9z0">
    <w:name w:val="WW8Num9z0"/>
    <w:rPr>
      <w:rFonts w:ascii="Arial" w:hAnsi="Arial" w:cs="Arial"/>
      <w:b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3z0">
    <w:name w:val="WW8Num13z0"/>
    <w:rPr>
      <w:rFonts w:ascii="Symbol" w:hAnsi="Symbol" w:cs="Symbol" w:hint="default"/>
      <w:color w:val="auto"/>
      <w:position w:val="0"/>
      <w:sz w:val="24"/>
      <w:vertAlign w:val="baseline"/>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auto"/>
      <w:position w:val="0"/>
      <w:sz w:val="24"/>
      <w:vertAlign w:val="baseline"/>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Arial" w:hAnsi="Arial"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Nagwek2Znak">
    <w:name w:val="Nagłówek 2 Znak"/>
    <w:rPr>
      <w:b/>
      <w:bCs/>
      <w:sz w:val="28"/>
      <w:szCs w:val="28"/>
      <w:lang w:val="pl-PL" w:bidi="ar-SA"/>
    </w:rPr>
  </w:style>
  <w:style w:type="character" w:customStyle="1" w:styleId="Nagwek8Znak">
    <w:name w:val="Nagłówek 8 Znak"/>
    <w:rPr>
      <w:i/>
      <w:iCs/>
      <w:sz w:val="24"/>
      <w:szCs w:val="24"/>
      <w:lang w:val="pl-PL" w:bidi="ar-SA"/>
    </w:rPr>
  </w:style>
  <w:style w:type="character" w:customStyle="1" w:styleId="NagwekZnak">
    <w:name w:val="Nagłówek Znak"/>
    <w:rPr>
      <w:lang w:val="pl-PL" w:bidi="ar-SA"/>
    </w:rPr>
  </w:style>
  <w:style w:type="character" w:customStyle="1" w:styleId="FontStyle12">
    <w:name w:val="Font Style12"/>
    <w:rPr>
      <w:rFonts w:ascii="Times New Roman" w:hAnsi="Times New Roman" w:cs="Times New Roman"/>
      <w:sz w:val="22"/>
      <w:szCs w:val="22"/>
    </w:rPr>
  </w:style>
  <w:style w:type="character" w:customStyle="1" w:styleId="Nierozpoznanawzmianka">
    <w:name w:val="Nierozpoznana wzmianka"/>
    <w:rPr>
      <w:color w:val="808080"/>
      <w:shd w:val="clear" w:color="auto" w:fill="E6E6E6"/>
    </w:rPr>
  </w:style>
  <w:style w:type="character" w:customStyle="1" w:styleId="ListLabel273">
    <w:name w:val="ListLabel 273"/>
    <w:rPr>
      <w:rFonts w:cs="OpenSymbol"/>
    </w:rPr>
  </w:style>
  <w:style w:type="character" w:customStyle="1" w:styleId="ListLabel274">
    <w:name w:val="ListLabel 274"/>
    <w:rPr>
      <w:rFonts w:cs="OpenSymbol"/>
    </w:rPr>
  </w:style>
  <w:style w:type="character" w:customStyle="1" w:styleId="ListLabel275">
    <w:name w:val="ListLabel 275"/>
    <w:rPr>
      <w:rFonts w:cs="OpenSymbol"/>
    </w:rPr>
  </w:style>
  <w:style w:type="character" w:customStyle="1" w:styleId="ListLabel276">
    <w:name w:val="ListLabel 276"/>
    <w:rPr>
      <w:rFonts w:cs="OpenSymbol"/>
    </w:rPr>
  </w:style>
  <w:style w:type="character" w:customStyle="1" w:styleId="ListLabel277">
    <w:name w:val="ListLabel 277"/>
    <w:rPr>
      <w:rFonts w:cs="OpenSymbol"/>
    </w:rPr>
  </w:style>
  <w:style w:type="character" w:customStyle="1" w:styleId="ListLabel278">
    <w:name w:val="ListLabel 278"/>
    <w:rPr>
      <w:rFonts w:cs="OpenSymbol"/>
    </w:rPr>
  </w:style>
  <w:style w:type="character" w:customStyle="1" w:styleId="ListLabel279">
    <w:name w:val="ListLabel 279"/>
    <w:rPr>
      <w:rFonts w:cs="OpenSymbol"/>
    </w:rPr>
  </w:style>
  <w:style w:type="character" w:customStyle="1" w:styleId="ListLabel280">
    <w:name w:val="ListLabel 280"/>
    <w:rPr>
      <w:rFonts w:cs="OpenSymbol"/>
    </w:rPr>
  </w:style>
  <w:style w:type="character" w:customStyle="1" w:styleId="ListLabel281">
    <w:name w:val="ListLabel 281"/>
    <w:rPr>
      <w:rFonts w:cs="OpenSymbol"/>
    </w:rPr>
  </w:style>
  <w:style w:type="character" w:customStyle="1" w:styleId="ListLabel288">
    <w:name w:val="ListLabel 288"/>
    <w:rPr>
      <w:rFonts w:ascii="Calibri" w:hAnsi="Calibri" w:cs="OpenSymbol"/>
      <w:sz w:val="22"/>
    </w:rPr>
  </w:style>
  <w:style w:type="character" w:customStyle="1" w:styleId="ListLabel289">
    <w:name w:val="ListLabel 289"/>
    <w:rPr>
      <w:rFonts w:cs="OpenSymbol"/>
    </w:rPr>
  </w:style>
  <w:style w:type="character" w:customStyle="1" w:styleId="ListLabel290">
    <w:name w:val="ListLabel 290"/>
    <w:rPr>
      <w:rFonts w:cs="OpenSymbol"/>
    </w:rPr>
  </w:style>
  <w:style w:type="character" w:customStyle="1" w:styleId="ListLabel291">
    <w:name w:val="ListLabel 291"/>
    <w:rPr>
      <w:rFonts w:cs="OpenSymbol"/>
    </w:rPr>
  </w:style>
  <w:style w:type="character" w:customStyle="1" w:styleId="ListLabel292">
    <w:name w:val="ListLabel 292"/>
    <w:rPr>
      <w:rFonts w:cs="OpenSymbol"/>
    </w:rPr>
  </w:style>
  <w:style w:type="character" w:customStyle="1" w:styleId="ListLabel293">
    <w:name w:val="ListLabel 293"/>
    <w:rPr>
      <w:rFonts w:cs="OpenSymbol"/>
    </w:rPr>
  </w:style>
  <w:style w:type="character" w:customStyle="1" w:styleId="ListLabel294">
    <w:name w:val="ListLabel 294"/>
    <w:rPr>
      <w:rFonts w:cs="OpenSymbol"/>
    </w:rPr>
  </w:style>
  <w:style w:type="character" w:customStyle="1" w:styleId="ListLabel295">
    <w:name w:val="ListLabel 295"/>
    <w:rPr>
      <w:rFonts w:cs="OpenSymbol"/>
    </w:rPr>
  </w:style>
  <w:style w:type="character" w:customStyle="1" w:styleId="ListLabel296">
    <w:name w:val="ListLabel 296"/>
    <w:rPr>
      <w:rFonts w:cs="OpenSymbo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line="300" w:lineRule="exact"/>
    </w:pPr>
    <w:rPr>
      <w:sz w:val="26"/>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Default">
    <w:name w:val="Default"/>
    <w:pPr>
      <w:suppressAutoHyphens/>
      <w:autoSpaceDE w:val="0"/>
    </w:pPr>
    <w:rPr>
      <w:color w:val="000000"/>
      <w:sz w:val="24"/>
      <w:szCs w:val="24"/>
      <w:lang w:eastAsia="zh-CN"/>
    </w:rPr>
  </w:style>
  <w:style w:type="paragraph" w:styleId="Tekstprzypisukocowego">
    <w:name w:val="endnote text"/>
    <w:basedOn w:val="Normalny"/>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nakZnakZnakZnakZnakZnakZnakZnakZnakZnakZnakZnak">
    <w:name w:val=" Znak Znak Znak Znak Znak Znak Znak Znak Znak Znak Znak Znak"/>
    <w:basedOn w:val="Normalny"/>
    <w:rPr>
      <w:rFonts w:ascii="Arial" w:hAnsi="Arial" w:cs="Arial"/>
      <w:sz w:val="24"/>
      <w:szCs w:val="24"/>
    </w:rPr>
  </w:style>
  <w:style w:type="paragraph" w:customStyle="1" w:styleId="normaltableau">
    <w:name w:val="normal_tableau"/>
    <w:basedOn w:val="Normalny"/>
    <w:pPr>
      <w:spacing w:before="120" w:after="120"/>
      <w:jc w:val="both"/>
    </w:pPr>
    <w:rPr>
      <w:rFonts w:ascii="Optima" w:hAnsi="Optima" w:cs="Optima"/>
      <w:sz w:val="22"/>
      <w:szCs w:val="22"/>
      <w:lang w:val="en-GB"/>
    </w:rPr>
  </w:style>
  <w:style w:type="paragraph" w:customStyle="1" w:styleId="Style3">
    <w:name w:val="Style3"/>
    <w:basedOn w:val="Normalny"/>
    <w:pPr>
      <w:widowControl w:val="0"/>
      <w:autoSpaceDE w:val="0"/>
      <w:spacing w:line="300" w:lineRule="exact"/>
      <w:ind w:hanging="336"/>
      <w:jc w:val="both"/>
    </w:pPr>
    <w:rPr>
      <w:sz w:val="24"/>
      <w:szCs w:val="24"/>
    </w:rPr>
  </w:style>
  <w:style w:type="paragraph" w:styleId="Akapitzlist">
    <w:name w:val="List Paragraph"/>
    <w:basedOn w:val="Normalny"/>
    <w:qFormat/>
    <w:pPr>
      <w:ind w:left="720"/>
      <w:contextualSpacing/>
    </w:pPr>
    <w:rPr>
      <w:sz w:val="24"/>
    </w:rPr>
  </w:style>
  <w:style w:type="paragraph" w:customStyle="1" w:styleId="Standardowy1">
    <w:name w:val="Standardowy1"/>
    <w:pPr>
      <w:suppressAutoHyphens/>
      <w:overflowPunct w:val="0"/>
      <w:autoSpaceDE w:val="0"/>
      <w:textAlignment w:val="baseline"/>
    </w:pPr>
    <w:rPr>
      <w:lang w:eastAsia="zh-CN"/>
    </w:rPr>
  </w:style>
  <w:style w:type="paragraph" w:styleId="Tekstpodstawowywcity">
    <w:name w:val="Body Text Indent"/>
    <w:basedOn w:val="Normalny"/>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5460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Łódź, dnia: 11</vt:lpstr>
    </vt:vector>
  </TitlesOfParts>
  <Company/>
  <LinksUpToDate>false</LinksUpToDate>
  <CharactersWithSpaces>6357</CharactersWithSpaces>
  <SharedDoc>false</SharedDoc>
  <HLinks>
    <vt:vector size="12" baseType="variant">
      <vt:variant>
        <vt:i4>7733343</vt:i4>
      </vt:variant>
      <vt:variant>
        <vt:i4>0</vt:i4>
      </vt:variant>
      <vt:variant>
        <vt:i4>0</vt:i4>
      </vt:variant>
      <vt:variant>
        <vt:i4>5</vt:i4>
      </vt:variant>
      <vt:variant>
        <vt:lpwstr>mailto:zamowienia.publiczne@copernicus.gda.pl</vt:lpwstr>
      </vt:variant>
      <vt:variant>
        <vt:lpwstr/>
      </vt:variant>
      <vt:variant>
        <vt:i4>1114148</vt:i4>
      </vt:variant>
      <vt:variant>
        <vt:i4>0</vt:i4>
      </vt:variant>
      <vt:variant>
        <vt:i4>0</vt:i4>
      </vt:variant>
      <vt:variant>
        <vt:i4>5</vt:i4>
      </vt:variant>
      <vt:variant>
        <vt:lpwstr>mailto:sales@famed.pl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11</dc:title>
  <dc:creator>Organika</dc:creator>
  <cp:lastModifiedBy>user</cp:lastModifiedBy>
  <cp:revision>2</cp:revision>
  <cp:lastPrinted>2018-01-05T09:55:00Z</cp:lastPrinted>
  <dcterms:created xsi:type="dcterms:W3CDTF">2018-01-25T13:19:00Z</dcterms:created>
  <dcterms:modified xsi:type="dcterms:W3CDTF">2018-01-25T13:19:00Z</dcterms:modified>
</cp:coreProperties>
</file>